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jy4z9pwkjc9_w17n0r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Республики9 октября 2007 года. Регистрационный номер 92-07 г.Бишкекот 25 сентября 2007 года № 209    ПРИКАЗ ГОСУДАРСТВЕННОГО АГЕНТСТВА ПО АРХИТЕКТУРЕ И СТРОИТЕЛЬСТВУ                ПРИ ПРАВИТЕЛЬСТВЕ КЫРГЫЗСКОЙ РЕСПУБЛИКИ                    Об утверждении СНиП КР 30-02:2007              "Состав, порядок разработки, согласования и              утверждения градостроительной документации"      В соответствии  со  статьей 7 Закона "О градостроительстве и архи-тектуре Кыргызской Республики",  а также с целью создания и  совершенс-твования национальной нормативной базы в области строительства Кыргызс-кой Республики, приказываю:     1. Утвердить </w:t>
      </w:r>
      <w:hyperlink w:history="1" r:id="rIdb-nnn-sj_sgyojhds_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СНиП</w:t>
        </w:r>
      </w:hyperlink>
      <w:r>
        <w:rPr>
          <w:rFonts w:ascii="Arial" w:cs="Arial" w:eastAsia="Arial" w:hAnsi="Arial"/>
          <w:sz w:val="24"/>
          <w:szCs w:val="24"/>
        </w:rPr>
        <w:t xml:space="preserve"> КР 30-02:2007 "Состав,  порядок разработки, сог-
ласования и утверждения градостроительной документации".     2. Управлению градостроительства и архитектуры Госстроя КыргызскойРеспублики в установленном порядке зарегистрировать настоящий приказ  вМинистерстве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4. С  момента  вступления в силу настоящего приказа признать утра-тившим силу приказ Государственной комиссии при Правительстве  Кыргызс-кой Республики  по  архитектуре и строительству от 15.03.2002 г. № 40 опринятии и  введении  в  действие  СНиП КР 30-02-2002 "Состав, порядок,разработка, согласование и утверждение градостроительной документации".     5. Уведомить Министерство юстиции Кыргызской Республики об  офици-альном опубликовании настоящего приказа.     6. Управлению градостроительства и архитектуры и отделу  техничес-кого нормирования Госстроя довести в установленном порядке информацию овведении указанного нормативного документа всем подведомственным струк-турам, проектным и другим организациям.     7. Контроль за исполнением настоящего приказа возложить на  замес-тителя директора Госстроя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2xsikxurqmuh1dyxu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dalil.kg/document/300703</w:t>
      </w:r>
    </w:hyperlink>
  </w:p>
  <w:p>
    <w:pPr>
      <w:spacing w:after="0" w:before="40"/>
      <w:jc w:val="center"/>
    </w:pPr>
    <w:hyperlink w:history="1" r:id="rId9hrj6jfienxb3i_x9sp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4z9pwkjc9_w17n0reir" Type="http://schemas.openxmlformats.org/officeDocument/2006/relationships/hyperlink" Target="https://dalil.kg/document/202591" TargetMode="External"/><Relationship Id="rIdb-nnn-sj_sgyojhds_ffj" Type="http://schemas.openxmlformats.org/officeDocument/2006/relationships/hyperlink" Target="https://dalil.kg/document/300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2xsikxurqmuh1dyxujv" Type="http://schemas.openxmlformats.org/officeDocument/2006/relationships/hyperlink" Target="https://dalil.kg/document/300703" TargetMode="External"/><Relationship Id="rId9hrj6jfienxb3i_x9sp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2026-10-03T05:51:10.268Z</dcterms:created>
  <dcterms:modified xsi:type="dcterms:W3CDTF">2026-10-03T05:51:10.268Z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