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Министерстве юстиции Кыргызской Республики14 июля 2008 года. Регистрационный номер 72-08 г.Бишкекот 27 июня 2008 года № 25/12               ПОСТАНОВЛЕНИЕ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(опубликовано в  журнале "Нормативные акты Национального банка                 Кыргызской Республики", № 2008/9)      Рассмотрев проект изменений и дополнений в  некоторые  нормативныеправовые акты Национального банка Кыргызской Республики, руководствуясьстатьями 7 и 43 Закона Кыргызской Республики </w:t>
      </w:r>
      <w:hyperlink w:history="1" r:id="rIdaw6hjxkc8kmpjurvksln2">
        <w:r>
          <w:rPr>
            <w:rFonts w:ascii="Arial" w:cs="Arial" w:eastAsia="Arial" w:hAnsi="Arial"/>
            <w:color w:val="1D4ED8"/>
            <w:sz w:val="24"/>
            <w:szCs w:val="24"/>
            <w:u w:val="single"/>
          </w:rPr>
          <w:t xml:space="preserve">"О Национальном банке Кыр-</w:t>
        </w:r>
      </w:hyperlink>
      <w:hyperlink w:history="1" r:id="rId9dll6eetewrmtk2tv878j">
        <w:r>
          <w:rPr>
            <w:rFonts w:ascii="Arial" w:cs="Arial" w:eastAsia="Arial" w:hAnsi="Arial"/>
            <w:color w:val="1D4ED8"/>
            <w:sz w:val="24"/>
            <w:szCs w:val="24"/>
            <w:u w:val="single"/>
          </w:rPr>
          <w:t xml:space="preserve">гызской Республики"</w:t>
        </w:r>
      </w:hyperlink>
      <w:r>
        <w:rPr>
          <w:rFonts w:ascii="Arial" w:cs="Arial" w:eastAsia="Arial" w:hAnsi="Arial"/>
          <w:sz w:val="24"/>
          <w:szCs w:val="24"/>
        </w:rPr>
        <w:t xml:space="preserve">, Правление Национального банка Кыргызской Республики постановляет:     1. Утвердить </w:t>
      </w:r>
      <w:hyperlink w:history="1" r:id="rIdb69x_hoakfoq6qd2bwymb">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некоторые нормативные правовые акты Национального банка Кыргызской Республики (прилагаются).     2. Управлению  банковских расчетов совместно с Юридическим отделомв установленном порядке направить на государственную регистрацию насто-ящее постановление в Министерство юстиции Кыргызской Республики.     3. Настоящее постановление вступает в силу  после  государственнойрегистрации в Министерстве юстиции Кыргызской Республики и последующегоофициального опубликования.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Управлению  банковских расчетов довести настоящее постановлениедо сведения коммерческих банков,  областных управлений и представитель-ства Национального банка Кыргызской Республики в Баткенской области.     6. Контроль исполнения настоящего постановления возложить  на  за-местителя Председателя Национального банка Кыргызской Республики Чокое-ва З.Л.      Председатель Правления Национального     банка Кыргызской Республики                       М.Алапаев                                                      Утверждены                                        </w:t>
      </w:r>
      <w:hyperlink w:history="1" r:id="rIdy5pzqtxnnyvjgcvdzfhk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27 июня 2008 года № 25/12                @1         ИЗМЕНЕНИЯ И ДОПОЛНЕНИЯ                 в некоторые нормативные правовые акты               Национального банка Кыргызской Республики      I. Внести в </w:t>
      </w:r>
      <w:hyperlink w:history="1" r:id="rIdwdlgdsl157hyleavofy4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Системе пакетного клиринга мелких  розничных и регулярных платежей в Кыргызской Республике,  утвержденное </w:t>
      </w:r>
      <w:hyperlink w:history="1" r:id="rIdz6uv0skxcd-dasxksaal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37/8 от 15 декабря 2005 г., зарегистрированное в Министерстве юстиции КР 18 января 2006 г. № 8-06, следующие изменения и дополнения:     1. Пункт 9.3. изложить в следующей редакции:     "В системе устанавливаются два вида лимитов  на  чистую  дебетовуюпозицию участников:     - Лимит 1 - устанавливается ежедневно после  открытия  клиринговойсессии,  путем  передачи  файла из RTGS в Систему пакетного клиринга порезультатам резервирования участником  части  средств,  находящихся  накорреспондентском  счете  на начало операционного дня и необходимых дляпроведения платежей в Системе пакетного клиринга. В случае необходимос-ти,  до начала расчета итоговых чистых позиций, участник может изменитьЛимит 1 только в сторону его увеличения.  Расчет  окончательной  чистойпозиции производится в пределах Лимита 1 и предназначен для минимизациифинансовых рисков;     - Лимит 2 - определяется ежеквартально в первый рабочий день квар-тала в размере максимального лимита дебетовой чистой позиции участника,определенной  на основе анализа статистических данных по лимитам чистыхдебетовых позиций участника. Данный лимит может быть использован толькопри создании участниками системы Страхового фонда, предназначенного дляпокрытия дебетовых позиций участников в момент проведения окончательно-го расчета.".     II. Внести в </w:t>
      </w:r>
      <w:hyperlink w:history="1" r:id="rIdqcgwzu44vfq2xwzufommr">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проведения  платежей  в  Системе пакетного  клиринга мелких розничных и регулярных платежей в Кыргызской Республике,  утвержденную </w:t>
      </w:r>
      <w:hyperlink w:history="1" r:id="rIdo0be-ahh1qahqpr8yzt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38/11  от  22 августа 2007 г., зарегистрированным в Министерстве юстиции КР 4 октября 2007 г. № 88-07, следующие изменения и дополнения:     1. В пункте 2.2.  термин "Лимит на дебетовую чистую позицию 1 вида(далее ЛДЧП1)" изложить в следующей редакции:     "Лимит на дебетовую чистую позицию 1 вида (далее ЛДЧП1) - устанав-ливается ежедневно после открытия клиринговой  сессии,  путем  передачифайла  из RTGS в Систему пакетного клиринга по результатам резервирова-ния участником части средств, находящихся на корреспондентском счете наначало операционного дня и необходимых для проведения платежей в Систе-ме пакетного клиринга. В случае необходимости, до начала расчета итого-вых чистых позиций,  участник может изменить ЛДЧП1 только в сторону егоувеличения. Расчет окончательной чистой позиции производится в пределахЛДЧП1 и предназначен для минимизации финансовых рисков.".     2. В пункте 2.2.  термин "Лимит на дебетовую чистую позицию 2 вида(далее ЛДЧП2)" изложить в следующей редакции:     "Лимит на дебетовую чистую позицию 2 вида (далее ЛДЧП2) - устанав-ливается ежедневно, после открытия клиринговой сессии, в размере макси-мального лимита дебетовой чистой позиции участника, определенной на ос-нове анализа статистических данных за предыдущий квартал. Предваритель-ные чистые позиции рассчитываются в пределах ЛДЧП2.  Данный  лимит  ис-пользуется при создании участниками системы Страхового фонда,  предназ-наченного для покрытия дебетовых позиций участников в момент проведенияокончательного расчета.".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3lcmzy3o7j3lgcm9kjok">
      <w:r>
        <w:rPr>
          <w:rFonts w:ascii="Arial" w:cs="Arial" w:eastAsia="Arial" w:hAnsi="Arial"/>
          <w:color w:val="132D3F"/>
          <w:sz w:val="16"/>
          <w:szCs w:val="16"/>
          <w:u w:val="single"/>
        </w:rPr>
        <w:t xml:space="preserve">dalil.kg/document/300869</w:t>
      </w:r>
    </w:hyperlink>
  </w:p>
  <w:p>
    <w:pPr>
      <w:spacing w:after="0" w:before="40"/>
      <w:jc w:val="center"/>
    </w:pPr>
    <w:hyperlink w:history="1" r:id="rIdo4m62xrg3aqo0jnytth1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w6hjxkc8kmpjurvksln2" Type="http://schemas.openxmlformats.org/officeDocument/2006/relationships/hyperlink" Target="https://dalil.kg/document/559" TargetMode="External"/><Relationship Id="rId9dll6eetewrmtk2tv878j" Type="http://schemas.openxmlformats.org/officeDocument/2006/relationships/hyperlink" Target="https://dalil.kg/document/559" TargetMode="External"/><Relationship Id="rIdb69x_hoakfoq6qd2bwymb" Type="http://schemas.openxmlformats.org/officeDocument/2006/relationships/hyperlink" Target="https://dalil.kg/document/300869#1" TargetMode="External"/><Relationship Id="rIdy5pzqtxnnyvjgcvdzfhks" Type="http://schemas.openxmlformats.org/officeDocument/2006/relationships/hyperlink" Target="https://dalil.kg/document/300869" TargetMode="External"/><Relationship Id="rIdwdlgdsl157hyleavofy4b" Type="http://schemas.openxmlformats.org/officeDocument/2006/relationships/hyperlink" Target="https://dalil.kg/document/300338" TargetMode="External"/><Relationship Id="rIdz6uv0skxcd-dasxksaalh" Type="http://schemas.openxmlformats.org/officeDocument/2006/relationships/hyperlink" Target="https://dalil.kg/document/300337" TargetMode="External"/><Relationship Id="rIdqcgwzu44vfq2xwzufommr" Type="http://schemas.openxmlformats.org/officeDocument/2006/relationships/hyperlink" Target="https://dalil.kg/document/300697" TargetMode="External"/><Relationship Id="rIdo0be-ahh1qahqpr8yzti-" Type="http://schemas.openxmlformats.org/officeDocument/2006/relationships/hyperlink" Target="https://dalil.kg/document/30069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3lcmzy3o7j3lgcm9kjok" Type="http://schemas.openxmlformats.org/officeDocument/2006/relationships/hyperlink" Target="https://dalil.kg/document/300869" TargetMode="External"/><Relationship Id="rIdo4m62xrg3aqo0jnytth1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2026-09-25T08:39:12.232Z</dcterms:created>
  <dcterms:modified xsi:type="dcterms:W3CDTF">2026-09-25T08:39:12.233Z</dcterms:modified>
</cp:coreProperties>
</file>

<file path=docProps/custom.xml><?xml version="1.0" encoding="utf-8"?>
<Properties xmlns="http://schemas.openxmlformats.org/officeDocument/2006/custom-properties" xmlns:vt="http://schemas.openxmlformats.org/officeDocument/2006/docPropsVTypes"/>
</file>