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марта 2007 года. Регистрационный номер 24-07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  <w:r>
        <w:rPr>
          <w:rFonts w:ascii="Arial" w:cs="Arial" w:eastAsia="Arial" w:hAnsi="Arial"/>
          <w:sz w:val="24"/>
          <w:szCs w:val="24"/>
        </w:rPr>
        <w:t xml:space="preserve">
  об особенностях расчета лимитов открытой валютной позиции в ОАО "Экобанк" с учетом операций, осуществляемых в соответствии с исламскими принципами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Правления Нацбанка КР от </w:t>
      </w:r>
      <w:hyperlink w:history="1" r:id="rId6ymjhw-y9iv6bv7jtld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2010 года № 91/7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расчета открытых валютных позиций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Лимиты открытой валютной позиции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Отчетность банка и порядок ее представления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Санкции за нарушение банком установленных лимитов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открытой валютной позиции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внутреннего контроля по операциям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иностранной валютой</w:t>
      </w:r>
    </w:p>
    <w:p>
      <w:pPr>
        <w:spacing w:after="120"/>
        <w:jc w:val="both"/>
      </w:pPr>
      <w:hyperlink w:history="1" r:id="rId-4gwh_bwyrvodaikcft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 Ежедневный отчет об открытых валютных позициях (ОВП)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операциям, осуществляемым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исламскими принципами финансирования</w:t>
      </w:r>
    </w:p>
    <w:p>
      <w:pPr>
        <w:spacing w:after="120"/>
        <w:jc w:val="both"/>
      </w:pPr>
      <w:hyperlink w:history="1" r:id="rIdrbdc6j5fu9cv0oygods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. Сводный ежедневный отчет об открытых валютных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позициях (ОВП)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Настоящая Инструкция разработана в рамках реализации пилотного проекта по внедрению исламских принципов финансирования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Целью данной Инструкции является установление особенностей расчета лимитов открытой валютной позиции в ОАО "Экобанк" (далее банк) с учетом операций, осуществляемых в соответствии с исламскими принципами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целях настоящей Инструкции применяются следующие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1.3.1. Активы, размещенные/приобретенные по исламским принципам финансирования - активы, размещенные/приобретенные по операциям, разрешенным </w:t>
      </w:r>
      <w:hyperlink w:history="1" r:id="rIdp8tdwwunoke7ryo7op9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(утверждено </w:t>
      </w:r>
      <w:hyperlink w:history="1" r:id="rIdomx-zolvfikuvtozzsc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32/2 от 30.10.06 г., зарегистрировано МЮКР за № 120-06 от 30.11.06 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1.3.2. Обязательства, привлеченные в соответствии с исламскими принципами финансирования - обязательства, привлеченные по операциям, разрешенным </w:t>
      </w:r>
      <w:hyperlink w:history="1" r:id="rIduwuur5nqf2knqv4q3mn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(утверждено </w:t>
      </w:r>
      <w:hyperlink w:history="1" r:id="rIddca7lbww5jfl8wdbhjy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32/2 от 30.10.06 г., зарегистрировано МЮКР за № 120-06 от 30.11.06 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1.3.3. Валютный риск - это риск получения банком убытков вследствие изменения стоимости требований (активов)/обязательств банка, выраженных в иностранной валюте, при неблагоприятном изменении валютного курса, в тот момент, когда банк имеет открытую валютную позицию по данной валюте. Валютная позиция возникает при осуществлении валютных операций и является показателем степени подверженности банка валютному риску.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1.3.4. Валютные операции - это сделки, связанные с обменом, покупкой/продажей (конвертацией) иностранной валюты, а также иные операции, в результате которых изменяются требования (активы) либо обязательства, выраженные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1.3.5. Чистая валютная позиция - это разница между требованиями (активами) и обязательствами банка, как балансовыми, так и забалансовыми, в отдельной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1.3.6. При несовпадении требований (активов) и обязательств банка в соответствующих валютах валютная позиция считается открытой, а в случае равенства - закрытой.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1.3.7. Открытая валютная позиция банка может быть длинной (в случае превышения требований (активов) банка в соответствующей валюте над его обязательствами в той же валюте), или короткой (при превышении обязательств над требованиями (активами)). Длинная валютная позиция записывается со знаком "+", короткая - со знаком "-".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1.3.8. Суммарная валютная позиция - это сумма всех чистых валютных позиций банка по всем иностранным валютам, рассчитанная с использованием метода "short ha№d", определенного в п.2.5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1.3.9. Лимиты открытых валютных позиций - это устанавливаемые НБКР ограничения, выраженные в процентном отношении открытых валютных позиций (по каждой иностранной валюте и суммарной) к чистому суммарному капиталу банка. Открытые валютные позиции рассчитываются в кыргызских сомах по учетному курсу НБКР. Лимиты открытых валютных позиций рассчитываются в процентах с округлением до двух десятичных знаков после запятой.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1.3.10. Чистый суммарный капитал банка - данная величина, рассчитывается в соответствии с требованиями Инструкции "Об особенностях расчета коэффициентов адекватности капитала в ОАО "Экобанк" с учетом операций, осуществляемых в соответствии с исламскими принципами финансирования".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1.3.11. В целях настоящей Инструкции при расчете лимитов открытых валютных позиций используется значение чистого суммарного капитала банка по состоянию на 1-е число каждого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1.3.12. Дата заключения сделки - это дата достижения сторонами соглашения по основным условиям сделки (виды валют, обменный курс, суммы средств, дата валютирования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1.3.13. Дата валютирования - это дата, в которую происходит зачисление средств на счета участников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расчета открытых валютных позиций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По состоянию на конец каждого рабочего дня банк должен рассчитывать следующие показатели: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чистые валютные позиции по каждой иностранной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суммарную валютную позицию.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Чистые валютные позиции рассчитываются в соответствии с </w:t>
      </w:r>
      <w:hyperlink w:history="1" r:id="rIdkqfvdab1ogotgyhmroa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открытой валютной позиции коммерческими банками на территории Кыргызской Республики (утверждена </w:t>
      </w:r>
      <w:hyperlink w:history="1" r:id="rIdgoyh1or4ukxynkmiepk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36/13 от 29 декабря 2004 г., зарегистрировано в МЮКР за № 16-05 от 1 февраля 2005 г.) отдельно по каждой иностранной валюте с обязательным включением в расчет: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чистая спот-позиция в иностранной валюте по операциям, осуществляемым банком в соответствии с исламскими принципами финансирования. Данная величина рассчитывается как разница между балансовыми активами и балансовыми обязательствами, включая незавершенные "спот" контракты с датой валютирования до 2-х дней. При этом активы и обязательства включаются в расчет по чистой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безотзывные тендерные гарантии, аккредитивы и прочие подобные им финансовые контракты, заключенные в соответствии с исламскими принципами финансирования номинированные в иностранной валюте, по которым банк ожидает, что должен будет выплатить денежные средства. При этом данные инструменты включаются в расчет чистой позиции с момента возникновения вероятности представления бенефициаром требований об уплате денежной суммы. Для оценки вероятности с достаточной степенью достоверности, банк может использовать информацию о неисполнении (задержке исполнения) принципалом своих обязательств, в том числе не имеющих непосредственного отношения к условиям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Валютные операции включаются в расчет валютной позиции с даты заключения сделки, в том числе операции, содержащие будущую дату валютирования, не являющуюся датой заключения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При расчете чистых валютных позиций по каждой иностранной валюте величины валютных позиций переводятся в сомовый эквивалент по действующему на отчетную дату учетному курсу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Суммарная валютная позиция по всем иностранным валютам рассчитывается с использованием метода "short ha№d". А именно, расчет осуществляется путем суммирования отдельно всех длинных чистых валютных позиций и отдельно всех коротких чистых валютных позиций по каждой валюте. Затем полученные величины сравниваются друг с другом (в абсолютной величине), и наибольшая из двух величин используется при расчете лимита суммарной валютной позиции.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Лимиты открытой валютной позиции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целях снижения валютного риска Национальный банк Кыргызской Республики устанавливает следующие лимиты открытой валютной позиции: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По состоянию на конец операционного дня размер открытой длинной/короткой валютной позиции, рассчитанный в соответствии с </w:t>
      </w:r>
      <w:hyperlink w:history="1" r:id="rIdwdtzkkdrmeg0003zt58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открытой валютной позиции коммерческими банками на территории Кыргызской Республики (утверждена </w:t>
      </w:r>
      <w:hyperlink w:history="1" r:id="rIdw5auhcv3hjcahq6dqu5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36/13 от 29 декабря 2004 г., зарегистрировано в МЮКР за № 16-05 от 1 февраля 2005 г.) с учетом операций, осуществляемых банком в соответствии с исламскими принципами финансирования, в соответствии с требованиями настоящей Инструкции, по каждой иностранной валюте не должен превышать: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валют стран, являющихся членами Организации Экономического Развития и Сотрудничества (ОЭРС) и/или для валют стран, подписавших 8-ю статью "Статей соглашения" с МВФ - 15% от чистого суммарного капитала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валют стран, не подписавших 8-ю статью "Статей соглашения" с МВФ - 0% от чистого суммарного капитала банка (закрытая позиция).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По состоянию на конец операционного дня размер суммарной валютной позиции, рассчитанный в соответствии с Инструкцией о порядке соблюдения лимитов открытой валютной позиции коммерческими банками на территории Кыргызской Республики (утверждена постановлением Правления НБКР № 36/13 от 29 декабря 2004 г., зарегистрировано в МЮКР за № 16-05 от 1 февраля 2005 г.) с учетом операций, осуществляемых банком в соответствии с исламскими принципами финансирования, в соответствии с требованиями настоящей Инструкции, по всем иностранным валютам стран, указанных в подпункте а) пункта 3.1.1 настоящей Инструкции, не должен превышать 20% от чистого суммарного капитала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Соблюдение установленных лимитов открытых валютных позиций обязательно на конец каждого операционного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Превышения установленных лимитов открытых валютных позиций не могут переноситься банком на следующий операционный день. До конца текущего операционного дня лимиты должны быть приведены в соответствие с требованиями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Величина открытых валютных позиций в течение операционного дня контролируется банком самостоятельно, исходя из собственной оценки допустимого уровня валютного риска. При этом банк должен удерживать размеры валютного риска в течение дня в соответствии с внутренней политикой управления валютными рисками, утвержденной Советом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Предельное значение лимитов открытых валютных позиций может быть снижено решением Комитета по надзору при осуществлении банком ненадежной и нездоровой практики ведения операций или при угрозе нарушения банковского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случае, если величина чистого суммарного капитала банка является отрицательной или равна нулю, банк должен привести чистые валютные позиции по каждой валюте к нулевому значению (закрытая позиция) в сроки, установленные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Отчетность банка и порядок ее представления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Ежедневно до 9.00 ч. банк должен представлять в НБКР отчеты об открытых валютных позициях по состоянию на конец последнего операционного дня в соответствии с Инструкцией о порядке соблюдения лимитов открытой валютной позиции коммерческими банками на территории Кыргызской Республики (утверждена постановлением Правления НБКР № 36/13 от 29 декабря 2004 г., зарегистрировано в МЮ КР за № 16-05 от 1 февраля 2005 г.), Периодическим регулятивным банковским отчетом (ПРБО) и приложениями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Банк с учетом данных всех филиалов, дочерних банков и обменных пунктов должен представлять следующие отчеты по открытым валютным позициям: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по операциям, осуществляемым в соответствии с исламскими принципами финансирования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сводный отчет по всем операциям банка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Санкции за нарушение банком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лимитов открытой валютной позиции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случае нарушения банком установленных лимитов открытой валютной позиции, Национальный банк Кыргызской Республики применяет санкции в виде взыскания денежного штрафа в размере 5% от суммы нарушения, но не более 1% от размера оплаченного уставного капитала банка, в соответствии с предусмотренными нормативными актами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 систематическом (более 2-х раз за последовательные 30 календарных дней) нарушении банком установленных лимитов, НБКР может применить иные санкции, предусмотренные банковским законодательством и нормативными актами НБКР, вплоть до отзыва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Превышение установленных лимитов в пределах 0-0,05% не влечет за собой применение штрафных санкций.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Любые попытки банка каким-либо образом избежать отражения в отчетности реальной валютной позиции будут рассматриваться Национальным банком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попытки ввести Национальный банк в заблуждение;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нездоровая банковская практика;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манипуляция валютной позицией с целью искажения ее реальной величины, то есть проведение сомнительных операций, происхождение и совершение которых не поддаются четкой идентификации и/или если эти операции влияют на финансовую отчетность банка и его экономические нормативы;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банком недостоверной финансовой и регулятивной отчетности. Подобные валютные операции не принимаются во внимание при расчете лимитов валютной позиции.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 случае нарушения любого из требований настоящей Инструкции руководство банка обязано незамедлительно информировать Национальный банк о допущенных нарушениях и представить в двухдневный срок письменные объяснения о причинах допущенного нарушения с перечнем мер, принятых банком с целью его устранения.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Санкции в виде взыскания денежного штрафа, как правило, не применяются к банку, если лимит открытой валютной позиции был нарушен в условиях возникших форс-мажорных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форс-мажорным обстоятельствам относятся: стихийные бедствия (наводнения, землетрясения, пожары и иные природные либо техногенные катастрофы), военные конфликты, террористические акты, гражданские волнения и беспорядки, а также издание нормативных правовых актов, ограничивающих или запрещающих выполнение каких-либо действий и повлиявших на выполнение банком экономических нормативов, установленных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wq1zmbjshjsk2krmqsj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2010 года № 91/7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В период действия в банке временного руководства либо консервации Комитет по надзору вправе рассмотреть целесообразность взыскания денежного штрафа с банка за несоблюдение установленных лимитов открытой валютной позиции с учетом всех обстоятельств, которые привели к нарушению данного экономического норматива.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d89vve5nnxq82ykirp6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2010 года № 91/7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В случае, если нарушение лимита открытой валютной позиции в период действия в банке временного руководства либо консервации явилось результатом деятельности банка до введения временного руководства/консервации, Комитет по надзору вправе рассмотреть вопрос о взыскании денежного штрафа с банка с отсрочкой его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j-bjfm-ycbl4nvvdncz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2010 года № 91/7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внутреннего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операциям с иностранной валютой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Для осуществления операций с иностранной валютой банк должен разработать внутреннюю политику управления валютными рисками и организовать адекватный внутренний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По каждой из проводимых операций с иностранной валютой должны быть разработаны соответствующие процедуры, в которых должны быть отражены, по меньшей мере,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разграничение функций back и fro№t офисов;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разграничение функциональных обязанностей сотрудников банка таким образом, чтобы один сотрудник не мог исполнить и/или контролировать какой-либо процесс в полном объеме от инициирования сделки до ее учета в бухгалтерских книгах;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четкой системы санкционирования объема проводимых банком операций соответствующими уполномоченными сотрудниками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банком внутренних лимитов открытой валютной позиции по каждой иностранной валюте и в целом по всем валютам;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уровня достаточности информации о надежности контр-агентов, в зависимости от характера и степени риска совершаемых операций и категории контр-агента;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требований к внутреннему аудиту при проведении проверок валютных операций (как минимум, независимость аудиторов и наличие у них необходимой квалификации и знаний);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требований по учету и отчетности по валютным операциям для банка и его филиалов (форма, частота представления, ответственность).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ЕЖЕДНЕВНЫЙ ОТЧЕТ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 открытых валютных позициях (ОВП)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операциям, осуществляемым в соответствии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 исламскими принципами финансирования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состоянию на ___.___.200__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ЧСК по состоянию на "01" __________ года: _______________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┌──────┬───────┬────────┬───────────┬─────────────┬────────┬──────────┐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Вид  │Учетный│Величина│   В том   │ Остатки по  │Величина│Отклонение│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│валюты│ курс  │  ОВП   │   числе:  │незавершенным│ ОВП (% │ от нормы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НБКР  │  (тыс. ├─────┬─────┤спот-сделкам │ к ЧСК) │лимита (%)│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сом)  │Ба-  │Заба-│  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│ланс │ланс │  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├──────┼───────┼────────┼─────┼─────┼─────────────┼────────┼──────────┤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 │     │  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├──────┼───────┼────────┼─────┼─────┼─────────────┼────────┼──────────┤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 │     │  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├──────┼───────┼────────┼─────┼─────┼─────────────┼────────┼──────────┤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 │     │  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├──────┴───────┴────────┴─────┴─────┼─────────────┼────────┼──────────┤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│Суммарная ОВП:                     │  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└───────────────────────────────────┴─────────────┴────────┴──────────┘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СВОДНЫЙ ЕЖЕДНЕВНЫЙ ОТЧЕТ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 открытых валютных позициях (ОВП)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состоянию на ___.___.200__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ЧСК по состоянию на "01" __________ года: _______________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┌──────┬───────┬────────┬───────────┬─────────────┬────────┬──────────┐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Вид  │Учетный│Величина│   В том   │ Остатки по  │Величина│Отклонение│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│валюты│ курс  │  ОВП   │   числе:  │незавершенным│ ОВП (% │ от нормы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НБКР  │  (тыс. ├─────┬─────┤спот-сделкам │ к ЧСК) │лимита (%)│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 сом)  │Ба-  │Заба-│  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│ланс │ланс │  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├──────┼───────┼────────┼─────┼─────┼─────────────┼────────┼──────────┤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 │     │  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├──────┼───────┼────────┼─────┼─────┼─────────────┼────────┼──────────┤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 │     │             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├──────┼───────┼────────┼─────┼─────┼─────────────┼────────┼──────────┤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 │        │     │     │  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├──────┴───────┴────────┴─────┴─────┼─────────────┼────────┼──────────┤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│Суммарная ОВП:                     │             │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└───────────────────────────────────┴─────────────┴────────┴──────────┘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4fl_ts-9v8unq82yvq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dalil.kg/document/301139</w:t>
      </w:r>
    </w:hyperlink>
  </w:p>
  <w:p>
    <w:pPr>
      <w:spacing w:after="0" w:before="40"/>
      <w:jc w:val="center"/>
    </w:pPr>
    <w:hyperlink w:history="1" r:id="rIdkedtvcqfl1qba2pu74x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mjhw-y9iv6bv7jtldlm" Type="http://schemas.openxmlformats.org/officeDocument/2006/relationships/hyperlink" Target="https://dalil.kg/document/302367" TargetMode="External"/><Relationship Id="rId-4gwh_bwyrvodaikcftz2" Type="http://schemas.openxmlformats.org/officeDocument/2006/relationships/hyperlink" Target="https://dalil.kg/document/301139#p1" TargetMode="External"/><Relationship Id="rIdrbdc6j5fu9cv0oygods58" Type="http://schemas.openxmlformats.org/officeDocument/2006/relationships/hyperlink" Target="https://dalil.kg/document/301139#p2" TargetMode="External"/><Relationship Id="rIdp8tdwwunoke7ryo7op92m" Type="http://schemas.openxmlformats.org/officeDocument/2006/relationships/hyperlink" Target="https://dalil.kg/document/300540" TargetMode="External"/><Relationship Id="rIdomx-zolvfikuvtozzsc2v" Type="http://schemas.openxmlformats.org/officeDocument/2006/relationships/hyperlink" Target="https://dalil.kg/document/300539" TargetMode="External"/><Relationship Id="rIduwuur5nqf2knqv4q3mnan" Type="http://schemas.openxmlformats.org/officeDocument/2006/relationships/hyperlink" Target="https://dalil.kg/document/300540" TargetMode="External"/><Relationship Id="rIddca7lbww5jfl8wdbhjywp" Type="http://schemas.openxmlformats.org/officeDocument/2006/relationships/hyperlink" Target="https://dalil.kg/document/300539" TargetMode="External"/><Relationship Id="rIdkqfvdab1ogotgyhmroafg" Type="http://schemas.openxmlformats.org/officeDocument/2006/relationships/hyperlink" Target="https://dalil.kg/document/31124" TargetMode="External"/><Relationship Id="rIdgoyh1or4ukxynkmiepkws" Type="http://schemas.openxmlformats.org/officeDocument/2006/relationships/hyperlink" Target="https://dalil.kg/document/31095" TargetMode="External"/><Relationship Id="rIdwdtzkkdrmeg0003zt58zd" Type="http://schemas.openxmlformats.org/officeDocument/2006/relationships/hyperlink" Target="https://dalil.kg/document/31124" TargetMode="External"/><Relationship Id="rIdw5auhcv3hjcahq6dqu5ot" Type="http://schemas.openxmlformats.org/officeDocument/2006/relationships/hyperlink" Target="https://dalil.kg/document/31095" TargetMode="External"/><Relationship Id="rIdwq1zmbjshjsk2krmqsjyo" Type="http://schemas.openxmlformats.org/officeDocument/2006/relationships/hyperlink" Target="https://dalil.kg/document/302367" TargetMode="External"/><Relationship Id="rIdd89vve5nnxq82ykirp6kh" Type="http://schemas.openxmlformats.org/officeDocument/2006/relationships/hyperlink" Target="https://dalil.kg/document/302367" TargetMode="External"/><Relationship Id="rIdj-bjfm-ycbl4nvvdnczbn" Type="http://schemas.openxmlformats.org/officeDocument/2006/relationships/hyperlink" Target="https://dalil.kg/document/30236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4fl_ts-9v8unq82yvqyf" Type="http://schemas.openxmlformats.org/officeDocument/2006/relationships/hyperlink" Target="https://dalil.kg/document/301139" TargetMode="External"/><Relationship Id="rIdkedtvcqfl1qba2pu74x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2026-09-23T18:46:05.288Z</dcterms:created>
  <dcterms:modified xsi:type="dcterms:W3CDTF">2026-09-23T18:46:05.288Z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