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 июля 2009 года. Регистрационный номер 65-09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ИНСТРУКЦИЯ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прохождения электронных сообщений через Гроссовую систему расчетов в режиме реального времени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</w:p>
    <w:p>
      <w:pPr>
        <w:spacing w:after="120"/>
        <w:jc w:val="center"/>
      </w:pPr>
      <w:hyperlink w:history="1" r:id="rIdyad-zxs0wcq5klfyfj34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2011 года № 20/7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rchpupmkv4lhmayuvjs4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2012 года № 14/13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2atmzm5a5zhoasij5y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x_eswswxyauho7p85p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2025-П-19/47-3-(НПА)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Настоящая Инструкция разработана в соответствии с Гражданским </w:t>
      </w:r>
      <w:hyperlink w:history="1" r:id="rIdzchinbdgjnjtenz5mbo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0eav98i0s5qungdme7_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e8gykn2xn1ls6lc7ml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wlsx3qtjitlaitone0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документе и электронной цифровой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xhrbs0jud4gaaw2bkc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платежной системе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r>
        <w:rPr>
          <w:rFonts w:ascii="Arial" w:cs="Arial" w:eastAsia="Arial" w:hAnsi="Arial"/>
          <w:sz w:val="24"/>
          <w:szCs w:val="24"/>
        </w:rPr>
        <w:t xml:space="preserve">Политикой</w:t>
      </w:r>
      <w:r>
        <w:rPr>
          <w:rFonts w:ascii="Arial" w:cs="Arial" w:eastAsia="Arial" w:hAnsi="Arial"/>
          <w:sz w:val="24"/>
          <w:szCs w:val="24"/>
        </w:rPr>
        <w:t xml:space="preserve"> по надзору (оверсайту) за платежной системой Кыргызской Республики, утвержденной </w:t>
      </w:r>
      <w:hyperlink w:history="1" r:id="rIdyjjagxr7jygd8qbhh9z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15 июля 2015 года № 38/4, Положениями "</w:t>
      </w:r>
      <w:r>
        <w:rPr>
          <w:rFonts w:ascii="Arial" w:cs="Arial" w:eastAsia="Arial" w:hAnsi="Arial"/>
          <w:sz w:val="24"/>
          <w:szCs w:val="24"/>
        </w:rPr>
        <w:t xml:space="preserve">О безналичных расчетах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", утвержденным </w:t>
      </w:r>
      <w:hyperlink w:history="1" r:id="rIdt0kwonxdd9iqnwskn0v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от 9 сентября 2005 года № 420/21/4, 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гроссовой системе расчетов в режиме реального времени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 июня 2007 года № 29/3, и другими нормативными правовыми актами Национального банка Кыргызской Республики (далее - Национальный банк).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qhzk563avjlf1tbdket-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Настоящая Инструкция устанавливает порядок операций по подготовке, передаче и обработке платежных документов на бумажном носителе и электронных платежных документов (далее ЭПД) и сообщений при проведении платежей с использованием Гроссовой системы расчетов в режиме реального времени (далее ГСРРВ).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g6ui-kd4pkvh71djrbd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Действие настоящей Инструкции распространяется на деятельность всех финансово-кредитных учреждений, лицензируемых Национальным банком, их клиентов, другие учреждения, имеющие счет, открытый в Национальном банке, а также специализированных участников, заключивших на добровольной основе Генеральное соглашение с Национальным банком об участии в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7qob77zfta22drntld0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</w:t>
      </w:r>
      <w:r>
        <w:rPr>
          <w:rFonts w:ascii="Arial" w:cs="Arial" w:eastAsia="Arial" w:hAnsi="Arial"/>
          <w:sz w:val="24"/>
          <w:szCs w:val="24"/>
        </w:rPr>
        <w:t xml:space="preserve">. Принципы и методы управления рисками в гроссовой системе расчетов в режиме реального времени приведены в </w:t>
      </w:r>
      <w:r>
        <w:rPr>
          <w:rFonts w:ascii="Arial" w:cs="Arial" w:eastAsia="Arial" w:hAnsi="Arial"/>
          <w:sz w:val="24"/>
          <w:szCs w:val="24"/>
        </w:rPr>
        <w:t xml:space="preserve">Политике</w:t>
      </w:r>
      <w:r>
        <w:rPr>
          <w:rFonts w:ascii="Arial" w:cs="Arial" w:eastAsia="Arial" w:hAnsi="Arial"/>
          <w:sz w:val="24"/>
          <w:szCs w:val="24"/>
        </w:rPr>
        <w:t xml:space="preserve"> по управлению рисками в платежной системе Кыргызской Республики,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мая 2005 года № 16/4 и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</w:t>
      </w:r>
      <w:r>
        <w:rPr>
          <w:rFonts w:ascii="Arial" w:cs="Arial" w:eastAsia="Arial" w:hAnsi="Arial"/>
          <w:sz w:val="24"/>
          <w:szCs w:val="24"/>
        </w:rPr>
        <w:t xml:space="preserve">О гроссовой системе расчетов в режиме реального времени в Кыргызской Республике", утвержденном Правлением Национального банка Кыргызской Республики от 1 июня 2007 года № 29/3.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e8qtrh7q_24ksnv0_gr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</w:t>
      </w:r>
      <w:r>
        <w:rPr>
          <w:rFonts w:ascii="Arial" w:cs="Arial" w:eastAsia="Arial" w:hAnsi="Arial"/>
          <w:sz w:val="24"/>
          <w:szCs w:val="24"/>
        </w:rPr>
        <w:t xml:space="preserve">Форматы электронных платежных документов и сообщений системы определены в документе "</w:t>
      </w:r>
      <w:r>
        <w:rPr>
          <w:rFonts w:ascii="Arial" w:cs="Arial" w:eastAsia="Arial" w:hAnsi="Arial"/>
          <w:sz w:val="24"/>
          <w:szCs w:val="24"/>
        </w:rPr>
        <w:t xml:space="preserve">Форматы</w:t>
      </w:r>
      <w:r>
        <w:rPr>
          <w:rFonts w:ascii="Arial" w:cs="Arial" w:eastAsia="Arial" w:hAnsi="Arial"/>
          <w:sz w:val="24"/>
          <w:szCs w:val="24"/>
        </w:rPr>
        <w:t xml:space="preserve"> электронных сообщений в Гроссовой системе расчетов в режиме реального времени (ГСРРВ) и правила их заполнения", утвержденном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43</w:t>
      </w:r>
      <w:r>
        <w:rPr>
          <w:rFonts w:ascii="Arial" w:cs="Arial" w:eastAsia="Arial" w:hAnsi="Arial"/>
          <w:sz w:val="24"/>
          <w:szCs w:val="24"/>
        </w:rPr>
        <w:t xml:space="preserve">/5 от 25.09.2007 г. и зарегистрированном в Министерстве юстиции Кыргызской Республики N 103-07 от 02.11.2007 г. (далее Правила заполнения форматов).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Термины и определения, используемые в настоящей Инструкции, соответствуют терминам и определениям, приведенным в нормативных правовых актах, указанных в пункте 1.1. настоящей Инструкции. Дополнительно в настоящей Инструкции используются следующие термины и определения.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Первичный платежный документ - платежный документ на бумажном носителе или в электронной форме, оформленный в соответствии с законодательством Кыргызской Республики и нормативными актами Национального банка, удостоверяющий факт совершения платежа.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Расчетное окно - период операционного дня системы, предназначенный для урегулирования обязательств между участниками системы и проведения расчетов по платежам, находящимся в очереди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epmbhtw8dzltrnsvn9o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Национальный банк является оператором ГСРРВ и расчетным банком по проведению расчетов в системе по счетам участников, открытым в Национальном банке.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</w:t>
      </w:r>
      <w:hyperlink w:history="1" r:id="rIduaqnrtur-owongedxn9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17 сентября 2025 года № 2025-П-19/47-3-(НПА)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Национальный банк является удостоверяющим центром электронной цифровой подписи, осуществляет процедуру авторизации уполномоченного ответственного лица участника и выдает индивидуальный носитель информации с личным ключом для использования при подписании и проверке входящих и исходящих ЭПД и электронных платежей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bymvhaszthrclg_2l_r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Подготовка и передача платежных документов участником-плательщиком в ГСРРВ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раздела в редакции </w:t>
      </w:r>
      <w:hyperlink w:history="1" r:id="rIdyo2lykhh23kbo5-tvpf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декабря 2015 года № 76/7)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Участник-плательщик принимает первичный платежный документ от клиента-плательщика в двух экземплярах. Один экземпляр первичного платежного документа остается в участнике-плательщике. Другой экземпляр первичного платежного документа возвращается клиенту-плательщику с отметкой о приеме его к исполнению. С момента получения клиентом-плательщиком экземпляра первичного платежного документа с отметкой участника-плательщика о приеме его к исполнению данный платеж является для клиента-плательщика безотзывным и с момента списания средств со счета клиента-плательщика данный платеж для него становится окончательным.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обмен первичными платежными документами между клиентом-плательщиком и участником-плательщиком осуществляется в электронной форме, участник-плательщик подтверждает клиенту-плательщику получение электронного документа в соответствии с условиями договора между участником-плательщиком и клиентом-плательщиком, а также в соответствии с внутренними нормативными документами и процедурами участника-плательщика.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zah1xhgufrfaouoe9fs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Участник-плательщик подготавливает ЭПД в соответствии с требованиями, установленными нормативными правовыми актами Кыргызской Республики. Для обеспечения однозначной привязки счета клиента к филиалу банка-участника, а также в целях обеспечения сквозной прямой обработки платежей участники должны в обязательном порядке использовать идентификатор филиала в формате электронного платежа МТ103, 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После подготовки ЭПД участник-плательщик отправляет его в ГСРРВ по имеющимся каналам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случае невозможности приема и передачи ЭПД и другой электронной информации по имеющимся каналам связи участники могут использовать для приема и передачи ЭПД электронные носители или бумажные платежные документы.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проведения платежей и расчетов в ГСРРВ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раздела в редакции </w:t>
      </w:r>
      <w:hyperlink w:history="1" r:id="rIdxg84psm0cozhe3mcv8b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декабря 2015 года № 76/7)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Регламент работы ГСРРВ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Обработка ЭПД производится в соответствии с регламентом работы ГСРРВ, который разделяется на следующие периоды: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10"/>
        <w:gridCol w:w="2568"/>
      </w:tblGrid>
      <w:tr>
        <w:tc>
          <w:tcPr>
            <w:tcW w:type="dxa" w:w="76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периода</w:t>
            </w:r>
          </w:p>
        </w:tc>
        <w:tc>
          <w:tcPr>
            <w:tcW w:type="dxa" w:w="2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периода</w:t>
            </w:r>
          </w:p>
        </w:tc>
      </w:tr>
      <w:tr>
        <w:tc>
          <w:tcPr>
            <w:tcW w:type="dxa" w:w="7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 дня Открыто для бизнеса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8:30-8:40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8:40-9:00</w:t>
            </w:r>
          </w:p>
        </w:tc>
      </w:tr>
      <w:tr>
        <w:tc>
          <w:tcPr>
            <w:tcW w:type="dxa" w:w="7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Окончательный расчет чистых позиций участников по смежным системам, включая системы расчетов платежными картами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9:00-17:00</w:t>
            </w:r>
          </w:p>
        </w:tc>
      </w:tr>
      <w:tr>
        <w:tc>
          <w:tcPr>
            <w:tcW w:type="dxa" w:w="7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обработка в ГСРРВ ЭПД и сообщений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9:00-17:20</w:t>
            </w:r>
          </w:p>
        </w:tc>
      </w:tr>
      <w:tr>
        <w:tc>
          <w:tcPr>
            <w:tcW w:type="dxa" w:w="7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участниками ГСРРВ резерва денежных средств на дебетовую чистую позицию в СПК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8:45-13:30</w:t>
            </w:r>
          </w:p>
        </w:tc>
      </w:tr>
      <w:tr>
        <w:tc>
          <w:tcPr>
            <w:tcW w:type="dxa" w:w="7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резерва на дебетовую чистую позицию и его передача в СПК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13:30-13:50</w:t>
            </w:r>
          </w:p>
        </w:tc>
      </w:tr>
      <w:tr>
        <w:tc>
          <w:tcPr>
            <w:tcW w:type="dxa" w:w="7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Окончательный расчет чистых позиций участников по итогам клиринговой сессии СПК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13:50-14:20</w:t>
            </w:r>
          </w:p>
        </w:tc>
      </w:tr>
      <w:tr>
        <w:tc>
          <w:tcPr>
            <w:tcW w:type="dxa" w:w="7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Первоначальное отключение (расчетное окно)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16:30</w:t>
            </w:r>
          </w:p>
        </w:tc>
      </w:tr>
      <w:tr>
        <w:tc>
          <w:tcPr>
            <w:tcW w:type="dxa" w:w="7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Окончательное отключение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17:00</w:t>
            </w:r>
          </w:p>
        </w:tc>
      </w:tr>
      <w:tr>
        <w:tc>
          <w:tcPr>
            <w:tcW w:type="dxa" w:w="7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расчетов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17:20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1qonxnog1-gscaq0zo0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55 </w:t>
        </w:r>
      </w:hyperlink>
      <w:r>
        <w:rPr>
          <w:rFonts w:ascii="Arial" w:cs="Arial" w:eastAsia="Arial" w:hAnsi="Arial"/>
          <w:sz w:val="24"/>
          <w:szCs w:val="24"/>
        </w:rPr>
        <w:t xml:space="preserve">Трудового кодекса Кыргызской Республики относительно продолжительности рабочего дня, непосредственно предшествующего нерабочему праздничному дню, а также рабочего праздничного дня регламент работы ГСРРВ сокращается на один час и устанавливается следующее время начала периодов регламента ГСРРВ: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28"/>
        <w:gridCol w:w="4150"/>
      </w:tblGrid>
      <w:tr>
        <w:tc>
          <w:tcPr>
            <w:tcW w:type="dxa" w:w="6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периода</w:t>
            </w:r>
          </w:p>
        </w:tc>
        <w:tc>
          <w:tcPr>
            <w:tcW w:type="dxa" w:w="4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периода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Первоначальное отключение (расчетное окно)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15:30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Окончательное отключение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16:00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расчетов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16:20</w:t>
            </w:r>
          </w:p>
        </w:tc>
      </w:tr>
    </w:tbl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марта 2011 года N 20/7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8oepficcgpz9w6-cld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o-ml1kut2_w-emevkrl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2025-П-19/47-3-(НПА)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При необходимости изменения регламента работы ГСРРВ принимается соответствующее постановление Правления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Участник системы несет ответственность за соблюдение регламента работы в соответствии с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3.1.4. При продлении регламента по обращению участника предоставляется письмо о причинах задержки расчетных периодов (первоначальное, окончательное, завершение расчетов) операционного дня за подписью руководителя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3.1.5. К периоду завершения расчетов участник системы обязан просмотреть все сообщения в "системе участника" и отменить все незавершенные сообщения, не имеющие "статус COMPLETE, CANCELLED".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3.1.6. В случае, если по какой-либо причине участниками ГСРРВ продлевается: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период первоначального отключения, и при этом: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продления не превышает время окончательного отключения, то наступление последующих расчетных периодов Системы происходит в соответствии с регламентом работы ГСРРВ;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продления периода первоначального отключения превышает время наступления окончательного отключения, то период окончательного отключения продлевается на 20 минут, с момента наступления периода первоначального отключения, а период завершения расчетов продлевается на 10 минут, с момента наступления периода окончательного отключения;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период окончательного отключения, и при этом: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продления не превышает время наступления периода завершения расчетов, то период завершения расчетов наступает в соответствии с регламентом работы ГСРРВ;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продления периода окончательного отключения превышает время наступления периода завершения расчетов, то период завершения расчетов продлевается на 10 минут, с момента наступления периода окончательного отключения.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30 марта 2012 года N 14/13)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Период открытия дня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ГСРРВ в период "открытие дня" проводит подготовку системы (обработку транзакций по оплате за услуги, установку параметров, их настройку и подготовку системы к началу работы).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Формирование расчетного лимита на дебетовую чистую позицию и передача в СПК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Расчетный лимит устанавливается после открытия клирингового дня, путем передачи файла из ГСРРВ в СПК, в размере максимального резерва денежных средств на дебетовую чистую позицию участника, рассчитанного на основе статистических данных за предыдущий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Прием и обработка в ГСРРВ ЭПД и сообщений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3.4.1. ЭПД для проведения платежей в ГСРРВ принимаются в рамках установленного регламента работы системы в течение текущего операционного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3.4.2. Очередность проведения расчетов в ГСРРВ соответствует очередности приема ЭПД к оплате. Расчет по каждому платежу в ГСРРВ производится в пределах текущего кредитового остатка на счете участника-плательщика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3.4.3. В ГСРРВ проверяется подлинность электронной цифровой подписи (далее ЭЦП) участника-плательщика, целостность ЭПД и ее соответствие установленному формату. В случае невозможности аутентификации полученных ЭПД от участника-плательщика, либо при обнаружении ошибок по заполнению реквизитов ЭПД, в ГСРРВ формируется электронный платеж соответствующего формата с указанием обнаруженных ошибок. Данное сообщение подписывается ЭЦП системы и направляется в адрес участника-плательщика по имеющимся каналам связи. Участник-плательщик после получения сообщения о непринятии ЭПД может повторно сформировать ЭПД и отправить ее в ГСРРВ для обработки в рамках установленного регламента работы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3.4.4. Электронный платежный документ обрабатывается в соответствии со статусом каждого участника, установленного в системе на основании решений (принятых постановлением) Правления Национальный банка или Комитета по надзору Национальный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6lzums_ac8x-59gajld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обработки платежей в соответствии со статусом приведены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29lffwngk0qazran5ru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30 марта 2011 года N 20/7)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3.4.5. При отсутствии средств на счете участника-плательщика в Национальном банке в размере, достаточном для проведения платежа, данный платеж помещается в очередь платежей в соответствии с принципом FIFO и установленным участником-плательщиком приоритетом согласно </w:t>
      </w:r>
      <w:r>
        <w:rPr>
          <w:rFonts w:ascii="Arial" w:cs="Arial" w:eastAsia="Arial" w:hAnsi="Arial"/>
          <w:sz w:val="24"/>
          <w:szCs w:val="24"/>
        </w:rPr>
        <w:t xml:space="preserve">Положению</w:t>
      </w:r>
      <w:r>
        <w:rPr>
          <w:rFonts w:ascii="Arial" w:cs="Arial" w:eastAsia="Arial" w:hAnsi="Arial"/>
          <w:sz w:val="24"/>
          <w:szCs w:val="24"/>
        </w:rPr>
        <w:t xml:space="preserve"> "О Гроссовой системе расчетов в режиме реального времени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3.4.6. При успешной проверке ЭПД, а также достаточности средств на счете участника-плательщика, в ГСРРВ производится расчет путем дебетования счета участника-плательщика и кредитования счета участника-получателя. После проведения расчета в ГСРРВ формируются и направляются участникам по имеющимся каналам связи электронные платежи о подтверждении дебетования счета участника-плательщика и кредитования счета участника-получателя.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3.4.7. После проведения в ГСРРВ операции дебетования счета участника-плательщика и кредитования счета участника-получателя расчет по данному платежу становится окончательным. В ГСРРВ окончательный расчет является безусловным и безотзывным.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ismzlx1w5aje5unf1si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3.4.8. Участник-плательщик несет ответственность за правильность передаваемых платежных документов и сообщений с момента передачи клиенту-плательщику подтверждения о приеме платежа к исполнению и списания средств со счета клиента-плательщика до момента передачи платежных документов оператору ГСРРВ.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id82wt55rdlw3evniut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3.4.9. Оператор ГСРРВ несет ответственность за проведение платежа с момента передачи участнику-плательщику подтверждения о приеме платежа к исполнению до момента проведения окончательного расчета по корреспондентским (текущим) счетам участников, открытых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vk95gfexkrgtooo5lkf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3.4.10. Участник-получатель платежа несет ответственность с момента зачисления средств на корреспондентский (текущий) счет участника-получателя в Национальном банке до момента зачисления полученных средств на счет клиента-получателя платежа.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hutw6ovigmzfow1xe3c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Обработка электронных платежей, полученных из ГСРРВ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3.5.1. Электронный платеж на подтверждение о дебетовании счета, поступившее из ГСРРВ в адрес участника-плательщика, проверяется участником-плательщиком на правильность ЭЦП, его целостность и на соответствие установленному формату. В случае, если проверка прошла успешно, данный платеж становится для участника-плательщика окончательным и безотзывным.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3.5.2. Электронный платеж на подтверждение о кредитовании счета, поступившее из ГСРРВ в адрес участника-получателя, проверяется участником-получателем на правильность ЭЦП, проверяется целостность сообщения и его соответствие установленному формату. При успешной проверке ЭПД участник-получатель зачисляет средства на счет клиента-получателя и платеж становится окончательным для участника-получателя.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d_awp_czdmbgia6oimd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3.5.3. Участник-получатель, получивший электронный платеж с неверно указанными реквизитами до 13:00 текущего операционного дня, должен осуществить обратный перевод денежных средств до конца текущего операционного дня. В случае получения электронного платежа с неверно указанными реквизитами после 13:00 текущего операционного дня, участник-получатель обязан осуществить обратный перевод денежных средств немедленно после начала работы системы ГСРРВ на следующий операционный день. При этом в поле назначения платежа указываются допущенные ошибки участником-плательщиком. Порядок действий по возврату платежей с ошибочными реквизитами осуществляется в соответствии с внутренними процедурами участника-получателя.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Передача участниками значений резерва денежных средств на дебетовую чистую позицию в ГСРРВ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3.6.1. Резерв денежных средств на дебетовую чистую позицию в смежных системах устанавливается ежедневно участником путем резервирования средств на своем счете, открытом в Национальном банке, части средств, необходимых для проведения окончательного расчета в ГСРРВ, либо операторами смежных систем путем направления в ГСРРВ файла установленного формата для предварительного резервирования достаточного объема денежных средств на корреспондентских счетах участников. Размер резервов должен быть достаточным для гарантированного проведения окончательного расчета файлов чистых позиций.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qfwffjn9ktypbv6j0oq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2025-П-19/47-3-(НПА)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Формирование резерва на дебетовую чистую позицию и его передача в СПК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3.7.1. В системе ГСРРВ на основании данных, полученных от участников, формируются файлы резерва на дебетовые позиции участников для оплаты дебетовой чистой позиции в СПК в установленном формате. ГСРРВ направляет файлы резервов на чистые дебетовые позиции участников в СПК по имеющимся каналам связи в соответствии с установленным регламентом работы ГСРРВ.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3.7.2. После получения файла резервов на дебетовую чистую позицию в СПК проверяется подлинность ЭЦП, целостность полученного файла резервов и его соответствие установленному формату. В случае отсутствия ошибок в полученном файле резервов СПК формирует подтверждение установленного формата и отправляет его по имеющимся каналам связи в ГСРРВ для окончательного расчета по корреспондентским счетам участников системы. В случае обнаружения ошибок СПК формирует сообщение об ошибке установленного формата и направляет его по имеющимся каналам связи в ГСРРВ.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Окончательный расчет чистых позиций смежных систем.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tnxxhf_-w37fvigfxhh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2025-П-19/47-3-(НПА)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3.8.1. После получения файла чистых позиций из смежных систем в ГСРРВ проводится проверка подлинности ЭП файла, целостности ЭПД и соответствия ЭПД установленному формату. В случае обнаружения ошибок в полученном файле в ГСРРВ формируется электронный платеж утвержденного формата с указанием обнаруженных ошибок. Данное сообщение подписывается ЭП и отправляется в адрес смежной системы по имеющимся каналам связи с указанием ошибки.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1vkkawxbrfu3hm9if7l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2025-П-19/47-3-(НПА)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3.8.2. В случае успешной проверки полученного файла производится окончательный расчет чистых позиций по счетам участников, открытым в Национальном банке. После проведения окончательного расчета в ГСРРВ формируется файл подтверждения об успешном проведении окончательного расчета и направляется в смежную систему по имеющимся каналам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mhcnjxf_hwz4nncmo2z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2025-П-19/47-3-(НПА)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3.8.3. В случае если дебетовая чистая позиция по результатам расчетов в смежной системе хотя бы у одного участника не может быть оплачена в ГСРРВ из-за недостаточности средств, весь файл чистых позиций отвергается системой ГСРРВ. При этом формируется ответный файл соответствующего формата с указанием ненулевых недостающих сумм (позиций) для одного или нескольких участников и направляется по имеющимся каналам связи в смежную систему для урегулирования чистых позиций либо повторной отправки через определенный промежуток времени после обеспечения участником необходимой ликвидности на корреспондентском счете для обеспечения окончательных расчетов.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1nlzfx8n1icuotlzbf_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2025-П-19/47-3-(НПА)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3.8.4. После проведения окончательного. расчета чистых позиций в ГСРРВ формируются сообщения о дебетовании и кредитовании корреспондентских счетов участников, открытых в Национальный банке, и направляются участникам по имеющимся каналам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3.8.5. Окончательный расчет чистых позиций участников по смежным системам, включая системы расчетов платежными картами, проводится на основании подписанных соглашений и договоров, а также в соответствии с внутренними процедурами Национального банка.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x4oxgihcinefxemb_vb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2025-П-19/47-3-(НПА)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 Периоды отключений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3.9.1. При наступлении периода первоначального отключения в ГСРРВ наступает запрет на ввод клиентских платежей. Платежи клиентов в этом режиме работы системой не принимаются. Данный режим работы носит название "расчетного окна".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gwigkqykkcckg-8gqpr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3.9.2. При наступлении периода окончательного отключения в ГСРРВ наступает запрет на ввод межбанковских платежей, при этом все клиентские и межбанковские платежи, находящиеся к этому моменту в очередях платежей, отвергаются системой.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ввод транзакций в систему между окончательным отключением и завершением расчетов имеет только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3.9.3. При наступлении периода завершения расчетов в ГСРРВ наступает запрет на ввод любых транзакций в систему. После наступления периода завершения расчетов все платежи, инициированные Национальным банком от имени участников и находящиеся к этому моменту в очередях платежей, отвергаются системой.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3.9.4. После наступления периода окончания расчетов ГСРРВ формирует статистические отчеты и производит архивирование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3.9.5. При наступлении периода закрытия дня ГСРРВ наступает завершение работы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3.9.6. ГСРРВ автоматически передает участникам электронные платежи о наступлении периодов первоначального отключения, окончательного отключения и завершения расчетов.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рисками и ликвидностью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Все платежи и расчеты в ГСРРВ проводятся только в пределах кредитового остатка на корреспондентском (текущем) счете участника-плательщика, открытом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1qifvvuert-z8c87rpa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случае недостатка средств на корреспондентском (текущем) счете участника-плательщика в Национальном банке данный платеж помещается в очередь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-yaqsqbsibhphojuo7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 целях снижения финансовых рисков участники ГСРРВ в течение дня: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мониторинг обработки платежей в режиме реального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мониторинг остатка средств на своем корреспондентском (текущем) счете, открытом в Национальном банке, в режиме реального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отслеживают общий уровень своей ликвидности в режиме реального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мониторинг очереди своих исходящих платежей в режиме реального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устанавливают приоритеты для своих исходящих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tzy1szmcme9alyjosc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 целях управления ликвидностью участники ГСРРВ в течение дня: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резервирование средств для обеспечения взаимодействия со смежными системами в режиме реального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управляют очередью платежей путем отзыва платежей из очереди и изменением приоритета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обращаются в Национальный банк для получения внутридневного кредита и кредита овернайт в соответствии с нормативными правовыми актами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обращаются к участникам межбанковского рынка для получения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продажу активов на межбанковских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пополняют остаток на счете в Национальном банке путем внесения наличных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rwmefp5ojgfphdl7use9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Оператор ГСРРВ в течение дня отслеживает ликвидность всех участников и может управлять очередью платежей любого участника по согласованию с ним.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Тарифы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Тарифы на услуги, оказываемые Национальным банком по обработке платежей в ГСРРВ, устанавливаются оператором ГСРРВ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Политикой</w:t>
      </w:r>
      <w:r>
        <w:rPr>
          <w:rFonts w:ascii="Arial" w:cs="Arial" w:eastAsia="Arial" w:hAnsi="Arial"/>
          <w:sz w:val="24"/>
          <w:szCs w:val="24"/>
        </w:rPr>
        <w:t xml:space="preserve"> ценообразования и установления тарифов на услуги, оказываемые Национальным банком Кыргызской Республики,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23 ноября 2002 года № 45/11, утверждаются Правлением Национального банка и публикуются на официальном сайте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3aymtpntt6wmbdpv3df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Ведение архивов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Участники ГСРРВ выполняют архивирование всех отправленных и полученных ЭПД и сообщений и хранят их в пределах срока, установленного законодательством Кыргызской Республики и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vyhiabhncs9dn5cloty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Распределение ответственности и разрешение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Распределение ответственности и разрешение споров между сторонами </w:t>
      </w:r>
      <w:r>
        <w:rPr>
          <w:rFonts w:ascii="Arial" w:cs="Arial" w:eastAsia="Arial" w:hAnsi="Arial"/>
          <w:sz w:val="24"/>
          <w:szCs w:val="24"/>
        </w:rPr>
        <w:t xml:space="preserve">регулируются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гроссовой системе расчетов в режиме реального времени в Кыргызской Республике", а также двусторонними и многосторонними соглашениями 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7.2. (Утратил силу в соответствии с </w:t>
      </w:r>
      <w:hyperlink w:history="1" r:id="rId8wxi8ho5r8rbmynz8mv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декабря 2015 года № 76/7)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Все внутренние правила и процедуры по обслуживанию системы разрабатываются Национальным банком в соответствии с законодательством Кыргызской Республики и нормативными правовыми актами Национального банка и согласовываются с участниками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efchtnoki4fqgi4xycy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7.4. (Утратил силу в соответствии с </w:t>
      </w:r>
      <w:hyperlink w:history="1" r:id="rIdxarf0ff_yaa57ivptxb3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декабря 2015 года № 76/7)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7.5. (Утратил силу в соответствии с </w:t>
      </w:r>
      <w:hyperlink w:history="1" r:id="rIdkssx7w463dzlxqv-b8i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декабря 2015 года № 76/7)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 
 к Инструкции о порядке проведения платежей и расчетов в гроссовой системе расчетов в режиме реального времени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использования Банковского Идентификационного Кода филиала при обработке электронных платежей в системе ГСРРВ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однозначной привязки счета клиента к филиалу банка-участника, а также в целях обеспечения сквозной прямой обработки платежей участники должны в обязательном порядке использовать идентификатор филиала в формате электронного платежа МТ103. Банковский Идентификационный Код (далее - БИК) филиала вводится в полях идентификации клиента-отправителя и клиента-получателя.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БИК филиала вводится в первую текстовую строку полей 50 и 59 сообщения МТ103 и занимает 6 первых позиций в этой строке. Остальные позиции текстовых строк указанных полей можно использовать под наименование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Формат БИК содержит 6 цифр и соответствует значению, внесенному в "Справочник банковских идентификационных кодов участников платежной системы".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:50К:/1123456789234234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102004 Автомастерская "Зенит"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ул.Мира,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:50К:/1123456789234234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102004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Автомастерская "Зенит"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ул.Мира,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Участники несут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обязательность ввода БИК филиала в поле 50 и/или 59 сообщения МТ103 при формировании межбанковского межфилиального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БИК указанному формату и значению, внесенному в "Справочник банковских идентификационных кодов участников платежной системы";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формату сообщения МТ103;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платежного поручения в адрес клиента-получателя с реквизитами филиала в качестве отправителя и/или получателя сообщения.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Инструкции о порядке проведения платежей и расчетов в гроссовой системе расчетов в режиме реального времени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обработки платежей в соответствии со статусом участника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b9dov8_qi7imkaa1qu1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30 марта 2011 года N 20/7)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участника устанавливается оператором ГСРРВ на основании решений (принятых постановлением) Правления Национальный банка или Комитета по надзору Национальный банка об отзыве лицензии, о введении режима специального администрирования, прямого банковского надзора, банкротства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определены следующие статусы участников: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Статусы, относящиеся к счету участника 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ACTIVE - счет участника активен, возможно проведение как дебетовых, так и кредитовых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BLOCKED INCOMING - счет участника имеет запрет на выполнение кредитовых платежей (пополнение счета);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BLOCKED OUTGOING - счет участника имеет запрет на проведение дебетовых платежей (списание со счета), в том числе на установление резерва денежных средств на дебетовую чистую позицию;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BLOCKED ALL - счет участника имеет запрет на проведение как дебетовых, так и кредитовых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Статусы, относящиеся к участникам 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ACTIVE - в адрес участника и от имени участника могут проводиться платежи;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APPROVE - любое изменение статуса участника находится в ожидании подтверждения;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DISABLED - участник не может проводить платежи.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Статусы платежей и резервов, относящиеся к платежам (клиентский МТ 103 и межбанковский МТ 202):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COMPLETE - платеж успешно оплачен и является окончательным;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CANCELLED - платеж аннулирован пользователем или системой;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APPROVE - платеж или резерв денежных средств находятся в ожидании подтверждения;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REPAIR - платеж или резерв денежных средств находятся в ожидании дополнительной корректировки;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PENDING - при отсутствии средств, в размере достаточном для проведения платежа или резерва денежных средств, платеж помещен в очередь;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DEFFERED - платеж помещен в очередь платежей с будущим временем расчета в течение текущего операционного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FUTURE - платеж помещен в очередь платежей с будущей датой расчета в течение нескольких будущих операционных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STOPRECV - платеж помещен в очередь платежей, ожидающих снятия запрета на проведение кредитовых операций со счета получателя;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STOPSEND - платеж помещен в очередь платежей, ожидающих снятия запрета на проведение дебетовых операций со счета отправителя.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snxm-kiv1n8ubhfy8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dalil.kg/document/301175</w:t>
      </w:r>
    </w:hyperlink>
  </w:p>
  <w:p>
    <w:pPr>
      <w:spacing w:after="0" w:before="40"/>
      <w:jc w:val="center"/>
    </w:pPr>
    <w:hyperlink w:history="1" r:id="rIdrg6bsr7yemrxaumsmml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d-zxs0wcq5klfyfj341" Type="http://schemas.openxmlformats.org/officeDocument/2006/relationships/hyperlink" Target="https://dalil.kg/document/302405" TargetMode="External"/><Relationship Id="rIdrchpupmkv4lhmayuvjs40" Type="http://schemas.openxmlformats.org/officeDocument/2006/relationships/hyperlink" Target="https://dalil.kg/document/302503" TargetMode="External"/><Relationship Id="rIdf2atmzm5a5zhoasij5yoa" Type="http://schemas.openxmlformats.org/officeDocument/2006/relationships/hyperlink" Target="https://dalil.kg/document/800722" TargetMode="External"/><Relationship Id="rId-x_eswswxyauho7p85pfq" Type="http://schemas.openxmlformats.org/officeDocument/2006/relationships/hyperlink" Target="https://dalil.kg/document/230033292" TargetMode="External"/><Relationship Id="rIdzchinbdgjnjtenz5mbomg" Type="http://schemas.openxmlformats.org/officeDocument/2006/relationships/hyperlink" Target="https://dalil.kg/document/4" TargetMode="External"/><Relationship Id="rId0eav98i0s5qungdme7_kz" Type="http://schemas.openxmlformats.org/officeDocument/2006/relationships/hyperlink" Target="https://dalil.kg/document/559" TargetMode="External"/><Relationship Id="rIdwe8gykn2xn1ls6lc7mlrl" Type="http://schemas.openxmlformats.org/officeDocument/2006/relationships/hyperlink" Target="https://dalil.kg/document/111486" TargetMode="External"/><Relationship Id="rIdwwlsx3qtjitlaitone0nq" Type="http://schemas.openxmlformats.org/officeDocument/2006/relationships/hyperlink" Target="https://dalil.kg/document/1491" TargetMode="External"/><Relationship Id="rIdcxhrbs0jud4gaaw2bkcok" Type="http://schemas.openxmlformats.org/officeDocument/2006/relationships/hyperlink" Target="https://dalil.kg/document/205425" TargetMode="External"/><Relationship Id="rIdyjjagxr7jygd8qbhh9zc-" Type="http://schemas.openxmlformats.org/officeDocument/2006/relationships/hyperlink" Target="https://dalil.kg/document/303018" TargetMode="External"/><Relationship Id="rIdt0kwonxdd9iqnwskn0vzf" Type="http://schemas.openxmlformats.org/officeDocument/2006/relationships/hyperlink" Target="https://dalil.kg/document/56546" TargetMode="External"/><Relationship Id="rIdqhzk563avjlf1tbdket-n" Type="http://schemas.openxmlformats.org/officeDocument/2006/relationships/hyperlink" Target="https://dalil.kg/document/800722" TargetMode="External"/><Relationship Id="rIdg6ui-kd4pkvh71djrbdw9" Type="http://schemas.openxmlformats.org/officeDocument/2006/relationships/hyperlink" Target="https://dalil.kg/document/800722" TargetMode="External"/><Relationship Id="rId7qob77zfta22drntld0ck" Type="http://schemas.openxmlformats.org/officeDocument/2006/relationships/hyperlink" Target="https://dalil.kg/document/800722" TargetMode="External"/><Relationship Id="rIde8qtrh7q_24ksnv0_grry" Type="http://schemas.openxmlformats.org/officeDocument/2006/relationships/hyperlink" Target="https://dalil.kg/document/800722" TargetMode="External"/><Relationship Id="rIdepmbhtw8dzltrnsvn9ojq" Type="http://schemas.openxmlformats.org/officeDocument/2006/relationships/hyperlink" Target="https://dalil.kg/document/800722" TargetMode="External"/><Relationship Id="rIduaqnrtur-owongedxn9wa" Type="http://schemas.openxmlformats.org/officeDocument/2006/relationships/hyperlink" Target="https://dalil.kg/document/230033292" TargetMode="External"/><Relationship Id="rIdbymvhaszthrclg_2l_rqb" Type="http://schemas.openxmlformats.org/officeDocument/2006/relationships/hyperlink" Target="https://dalil.kg/document/800722" TargetMode="External"/><Relationship Id="rIdyo2lykhh23kbo5-tvpfzd" Type="http://schemas.openxmlformats.org/officeDocument/2006/relationships/hyperlink" Target="https://dalil.kg/document/800722" TargetMode="External"/><Relationship Id="rIdzah1xhgufrfaouoe9fs3d" Type="http://schemas.openxmlformats.org/officeDocument/2006/relationships/hyperlink" Target="https://dalil.kg/document/800722" TargetMode="External"/><Relationship Id="rIdxg84psm0cozhe3mcv8b8n" Type="http://schemas.openxmlformats.org/officeDocument/2006/relationships/hyperlink" Target="https://dalil.kg/document/800722" TargetMode="External"/><Relationship Id="rId1qonxnog1-gscaq0zo0k9" Type="http://schemas.openxmlformats.org/officeDocument/2006/relationships/hyperlink" Target="https://dalil.kg/document/230021083#st_55" TargetMode="External"/><Relationship Id="rId88oepficcgpz9w6-cldfn" Type="http://schemas.openxmlformats.org/officeDocument/2006/relationships/hyperlink" Target="https://dalil.kg/document/800722" TargetMode="External"/><Relationship Id="rIdo-ml1kut2_w-emevkrljp" Type="http://schemas.openxmlformats.org/officeDocument/2006/relationships/hyperlink" Target="https://dalil.kg/document/230033292" TargetMode="External"/><Relationship Id="rId6lzums_ac8x-59gajldeq" Type="http://schemas.openxmlformats.org/officeDocument/2006/relationships/hyperlink" Target="https://dalil.kg/document/800722" TargetMode="External"/><Relationship Id="rId29lffwngk0qazran5ruhm" Type="http://schemas.openxmlformats.org/officeDocument/2006/relationships/hyperlink" Target="https://dalil.kg/document/302405" TargetMode="External"/><Relationship Id="rIdismzlx1w5aje5unf1si3u" Type="http://schemas.openxmlformats.org/officeDocument/2006/relationships/hyperlink" Target="https://dalil.kg/document/800722" TargetMode="External"/><Relationship Id="rIdid82wt55rdlw3evniut2w" Type="http://schemas.openxmlformats.org/officeDocument/2006/relationships/hyperlink" Target="https://dalil.kg/document/800722" TargetMode="External"/><Relationship Id="rIdvk95gfexkrgtooo5lkf2g" Type="http://schemas.openxmlformats.org/officeDocument/2006/relationships/hyperlink" Target="https://dalil.kg/document/800722" TargetMode="External"/><Relationship Id="rIdhutw6ovigmzfow1xe3cqv" Type="http://schemas.openxmlformats.org/officeDocument/2006/relationships/hyperlink" Target="https://dalil.kg/document/800722" TargetMode="External"/><Relationship Id="rIdd_awp_czdmbgia6oimdai" Type="http://schemas.openxmlformats.org/officeDocument/2006/relationships/hyperlink" Target="https://dalil.kg/document/800722" TargetMode="External"/><Relationship Id="rIdqfwffjn9ktypbv6j0oqyu" Type="http://schemas.openxmlformats.org/officeDocument/2006/relationships/hyperlink" Target="https://dalil.kg/document/230033292" TargetMode="External"/><Relationship Id="rIdtnxxhf_-w37fvigfxhhic" Type="http://schemas.openxmlformats.org/officeDocument/2006/relationships/hyperlink" Target="https://dalil.kg/document/230033292" TargetMode="External"/><Relationship Id="rId1vkkawxbrfu3hm9if7le-" Type="http://schemas.openxmlformats.org/officeDocument/2006/relationships/hyperlink" Target="https://dalil.kg/document/230033292" TargetMode="External"/><Relationship Id="rIdmhcnjxf_hwz4nncmo2zev" Type="http://schemas.openxmlformats.org/officeDocument/2006/relationships/hyperlink" Target="https://dalil.kg/document/230033292" TargetMode="External"/><Relationship Id="rId1nlzfx8n1icuotlzbf_sj" Type="http://schemas.openxmlformats.org/officeDocument/2006/relationships/hyperlink" Target="https://dalil.kg/document/230033292" TargetMode="External"/><Relationship Id="rIdx4oxgihcinefxemb_vbeo" Type="http://schemas.openxmlformats.org/officeDocument/2006/relationships/hyperlink" Target="https://dalil.kg/document/230033292" TargetMode="External"/><Relationship Id="rIdgwigkqykkcckg-8gqprgj" Type="http://schemas.openxmlformats.org/officeDocument/2006/relationships/hyperlink" Target="https://dalil.kg/document/800722" TargetMode="External"/><Relationship Id="rId1qifvvuert-z8c87rpab9" Type="http://schemas.openxmlformats.org/officeDocument/2006/relationships/hyperlink" Target="https://dalil.kg/document/800722" TargetMode="External"/><Relationship Id="rIdl-yaqsqbsibhphojuo73j" Type="http://schemas.openxmlformats.org/officeDocument/2006/relationships/hyperlink" Target="https://dalil.kg/document/800722" TargetMode="External"/><Relationship Id="rIdltzy1szmcme9alyjoscav" Type="http://schemas.openxmlformats.org/officeDocument/2006/relationships/hyperlink" Target="https://dalil.kg/document/800722" TargetMode="External"/><Relationship Id="rIdrwmefp5ojgfphdl7use9k" Type="http://schemas.openxmlformats.org/officeDocument/2006/relationships/hyperlink" Target="https://dalil.kg/document/800722" TargetMode="External"/><Relationship Id="rId3aymtpntt6wmbdpv3df5x" Type="http://schemas.openxmlformats.org/officeDocument/2006/relationships/hyperlink" Target="https://dalil.kg/document/800722" TargetMode="External"/><Relationship Id="rIdvyhiabhncs9dn5clotysl" Type="http://schemas.openxmlformats.org/officeDocument/2006/relationships/hyperlink" Target="https://dalil.kg/document/800722" TargetMode="External"/><Relationship Id="rId8wxi8ho5r8rbmynz8mvks" Type="http://schemas.openxmlformats.org/officeDocument/2006/relationships/hyperlink" Target="https://dalil.kg/document/800722" TargetMode="External"/><Relationship Id="rIdefchtnoki4fqgi4xycyl_" Type="http://schemas.openxmlformats.org/officeDocument/2006/relationships/hyperlink" Target="https://dalil.kg/document/800722" TargetMode="External"/><Relationship Id="rIdxarf0ff_yaa57ivptxb32" Type="http://schemas.openxmlformats.org/officeDocument/2006/relationships/hyperlink" Target="https://dalil.kg/document/800722" TargetMode="External"/><Relationship Id="rIdkssx7w463dzlxqv-b8i-w" Type="http://schemas.openxmlformats.org/officeDocument/2006/relationships/hyperlink" Target="https://dalil.kg/document/800722" TargetMode="External"/><Relationship Id="rIdlb9dov8_qi7imkaa1qu1_" Type="http://schemas.openxmlformats.org/officeDocument/2006/relationships/hyperlink" Target="https://dalil.kg/document/302405" TargetMode="External"/><Relationship Id="rId8" Type="http://schemas.openxmlformats.org/officeDocument/2006/relationships/image" Target="media/8de64316e95979c063c17bcd5380dc052a2594e9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snxm-kiv1n8ubhfy8ac" Type="http://schemas.openxmlformats.org/officeDocument/2006/relationships/hyperlink" Target="https://dalil.kg/document/301175" TargetMode="External"/><Relationship Id="rIdrg6bsr7yemrxaumsmml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2026-09-27T07:32:18.206Z</dcterms:created>
  <dcterms:modified xsi:type="dcterms:W3CDTF">2026-09-27T07:32:18.206Z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