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ub34likrwdh35d6woozz6">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28 декабря 2009 года № 51/6</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Правления Нацбанка КР от  </w:t>
      </w:r>
      <w:hyperlink w:history="1" r:id="rIdaqrmq7jtbnl9wvpcecon1">
        <w:r>
          <w:rPr>
            <w:rFonts w:ascii="Arial" w:cs="Arial" w:eastAsia="Arial" w:hAnsi="Arial"/>
            <w:i/>
            <w:iCs/>
            <w:color w:val="1D4ED8"/>
            <w:sz w:val="24"/>
            <w:szCs w:val="24"/>
            <w:u w:val="single"/>
          </w:rPr>
          <w:t xml:space="preserve">23 октября 2013 года № 39/8</w:t>
        </w:r>
      </w:hyperlink>
      <w:r>
        <w:rPr>
          <w:rFonts w:ascii="Arial" w:cs="Arial" w:eastAsia="Arial" w:hAnsi="Arial"/>
          <w:i/>
          <w:iCs/>
          <w:sz w:val="24"/>
          <w:szCs w:val="24"/>
        </w:rPr>
        <w:t xml:space="preserve">, </w:t>
      </w:r>
      <w:hyperlink w:history="1" r:id="rId9l5osnykkh6_f9jvilsyz">
        <w:r>
          <w:rPr>
            <w:rFonts w:ascii="Arial" w:cs="Arial" w:eastAsia="Arial" w:hAnsi="Arial"/>
            <w:i/>
            <w:iCs/>
            <w:color w:val="1D4ED8"/>
            <w:sz w:val="24"/>
            <w:szCs w:val="24"/>
            <w:u w:val="single"/>
          </w:rPr>
          <w:t xml:space="preserve">14 октября 2015 года № 62/3</w:t>
        </w:r>
      </w:hyperlink>
      <w:r>
        <w:rPr>
          <w:rFonts w:ascii="Arial" w:cs="Arial" w:eastAsia="Arial" w:hAnsi="Arial"/>
          <w:i/>
          <w:iCs/>
          <w:sz w:val="24"/>
          <w:szCs w:val="24"/>
        </w:rPr>
        <w:t xml:space="preserve"> , </w:t>
      </w:r>
      <w:hyperlink w:history="1" r:id="rId1bjmkvbjp9_4rsyeizl9w">
        <w:r>
          <w:rPr>
            <w:rFonts w:ascii="Arial" w:cs="Arial" w:eastAsia="Arial" w:hAnsi="Arial"/>
            <w:i/>
            <w:iCs/>
            <w:color w:val="1D4ED8"/>
            <w:sz w:val="24"/>
            <w:szCs w:val="24"/>
            <w:u w:val="single"/>
          </w:rPr>
          <w:t xml:space="preserve">2 ноября 2015 года № 65/1</w:t>
        </w:r>
      </w:hyperlink>
      <w:r>
        <w:rPr>
          <w:rFonts w:ascii="Arial" w:cs="Arial" w:eastAsia="Arial" w:hAnsi="Arial"/>
          <w:i/>
          <w:iCs/>
          <w:sz w:val="24"/>
          <w:szCs w:val="24"/>
        </w:rPr>
        <w:t xml:space="preserve">, 23 декабря 2015 года № 78/23, 27 апреля 2016 года № 19/6, 15 июня 2016 года № 25/2, 22 февраля 2017 года № 6/4, 15 июня 2017 года № 2017-П-12/25-1, 24 марта 2020 года № 2020-П-12/15-5, 28 декабря 2020 года № 2020-П-33/75-5, </w:t>
      </w:r>
      <w:hyperlink w:history="1" r:id="rIdeud1sqrlzntec7bqdpdru">
        <w:r>
          <w:rPr>
            <w:rFonts w:ascii="Arial" w:cs="Arial" w:eastAsia="Arial" w:hAnsi="Arial"/>
            <w:i/>
            <w:iCs/>
            <w:color w:val="1D4ED8"/>
            <w:sz w:val="24"/>
            <w:szCs w:val="24"/>
            <w:u w:val="single"/>
          </w:rPr>
          <w:t xml:space="preserve">30 июня 2021 года № 2021-П-12/36-3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распространяется на банки, осуществляющие деятельность в соответствии с исламскими принципами банковского дела и финансирования, включая банки, имеющие "исламское окно" (далее - банк).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28 декабря 2020 года № 2020-П-33/75-5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Целью настоящего Положения является установление минимальных требований по классификации активов и забалансовых обязательств, размещенных/принятых в соответствии с исламскими принципами банковского дела и финансирования (далее - активы), а также по созданию соответствующих резервов на покрытие потенциальных потерь и убытков (далее по тексту РППУ) в целях регулирования и надзора.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октября 2013 года N 39/8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Для своевременного покрытия потенциальных потерь и убытков, а также в целях определения реального финансового состояния и эффективности работы, банк обязан на постоянной основе проводить оценку качества активов (классифицировать) и создавать РППУ на уровне, достаточном для покрытия возможных потерь и убытков по активам.</w:t>
      </w:r>
    </w:p>
    <w:p>
      <w:pPr>
        <w:spacing w:after="60"/>
        <w:ind w:firstLine="567"/>
        <w:jc w:val="both"/>
      </w:pPr>
      <w:r>
        <w:rPr>
          <w:rFonts w:ascii="Arial" w:cs="Arial" w:eastAsia="Arial" w:hAnsi="Arial"/>
          <w:sz w:val="24"/>
          <w:szCs w:val="24"/>
        </w:rPr>
        <w:t xml:space="preserve">4. Классификации подлежат активы, являющиеся требованиями к физическим и юридическим лицам, в том числе к банкам, за исключением требований к Правительству Кыргызской Республики и Национальному банку Кыргызской Республики (далее по тексту - Национальный банк).</w:t>
      </w:r>
    </w:p>
    <w:p>
      <w:pPr>
        <w:spacing w:after="60"/>
        <w:ind w:firstLine="567"/>
        <w:jc w:val="both"/>
      </w:pPr>
      <w:r>
        <w:rPr>
          <w:rFonts w:ascii="Arial" w:cs="Arial" w:eastAsia="Arial" w:hAnsi="Arial"/>
          <w:sz w:val="24"/>
          <w:szCs w:val="24"/>
        </w:rPr>
        <w:t xml:space="preserve">5. РППУ создается при обесценении активов, то есть при снижении их стоимости вследствие неисполнения или ненадлежащего исполнения клиентом/партнером/поставщиком (далее - клиент) банка обязательств по активу, предусмотренных условиями договора, либо существования реальной угрозы неисполнения (ненадлежащего исполнения) данных обязательств.</w:t>
      </w:r>
    </w:p>
    <w:p>
      <w:pPr>
        <w:spacing w:after="60"/>
        <w:ind w:firstLine="567"/>
        <w:jc w:val="both"/>
      </w:pPr>
      <w:r>
        <w:rPr>
          <w:rFonts w:ascii="Arial" w:cs="Arial" w:eastAsia="Arial" w:hAnsi="Arial"/>
          <w:sz w:val="24"/>
          <w:szCs w:val="24"/>
        </w:rPr>
        <w:t xml:space="preserve">Величина снижения стоимости актива определяется как разность между балансовой стоимостью актива (остатком задолженности по активу) на момент оценки качества актива, и ее реальной (текущей) стоимостью на момент оценки, произведенной в соответствии с нормами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октября 2013 года N 39/8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Основой для адекватной оценки размера РППУ является система классификации активов, которая должна быть разработана банком в соответствии с настоящим Положением. При этом необходимый размер отчислений в РППУ рассчитывается от суммы средств, вложенных банком, как собственных, так и привлеченных (подлежащих возврату клиенту в соответствии с условиями договора между банком и клиентом).</w:t>
      </w:r>
    </w:p>
    <w:p>
      <w:pPr>
        <w:spacing w:after="60"/>
        <w:ind w:firstLine="567"/>
        <w:jc w:val="both"/>
      </w:pPr>
      <w:r>
        <w:rPr>
          <w:rFonts w:ascii="Arial" w:cs="Arial" w:eastAsia="Arial" w:hAnsi="Arial"/>
          <w:sz w:val="24"/>
          <w:szCs w:val="24"/>
        </w:rPr>
        <w:t xml:space="preserve">Деятельность банка, при которой не обеспечивается адекватный уровень РППУ, Национальным банком будет рассматриваться как ненадежная и нездоровая банковская практика.</w:t>
      </w:r>
    </w:p>
    <w:p>
      <w:pPr>
        <w:spacing w:after="60"/>
        <w:ind w:firstLine="567"/>
        <w:jc w:val="both"/>
      </w:pPr>
      <w:r>
        <w:rPr>
          <w:rFonts w:ascii="Arial" w:cs="Arial" w:eastAsia="Arial" w:hAnsi="Arial"/>
          <w:sz w:val="24"/>
          <w:szCs w:val="24"/>
        </w:rPr>
        <w:t xml:space="preserve">7. Классификация активов является выражением различной степени риска потерь, которая варьируется в зависимости от различных факторов.</w:t>
      </w:r>
    </w:p>
    <w:p>
      <w:pPr>
        <w:spacing w:after="60"/>
        <w:ind w:firstLine="567"/>
        <w:jc w:val="both"/>
      </w:pPr>
      <w:r>
        <w:rPr>
          <w:rFonts w:ascii="Arial" w:cs="Arial" w:eastAsia="Arial" w:hAnsi="Arial"/>
          <w:sz w:val="24"/>
          <w:szCs w:val="24"/>
        </w:rPr>
        <w:t xml:space="preserve">8. Банк обязан периодически проводить классификацию своих активов, к которым относятся:</w:t>
      </w:r>
    </w:p>
    <w:p>
      <w:pPr>
        <w:spacing w:after="60"/>
        <w:ind w:firstLine="567"/>
        <w:jc w:val="both"/>
      </w:pPr>
      <w:r>
        <w:rPr>
          <w:rFonts w:ascii="Arial" w:cs="Arial" w:eastAsia="Arial" w:hAnsi="Arial"/>
          <w:sz w:val="24"/>
          <w:szCs w:val="24"/>
        </w:rPr>
        <w:t xml:space="preserve">- активы, несущие риск потерь в результате неисполнения или ненадлежащего исполнения клиентом условий договора;</w:t>
      </w:r>
    </w:p>
    <w:p>
      <w:pPr>
        <w:spacing w:after="60"/>
        <w:ind w:firstLine="567"/>
        <w:jc w:val="both"/>
      </w:pPr>
      <w:r>
        <w:rPr>
          <w:rFonts w:ascii="Arial" w:cs="Arial" w:eastAsia="Arial" w:hAnsi="Arial"/>
          <w:sz w:val="24"/>
          <w:szCs w:val="24"/>
        </w:rPr>
        <w:t xml:space="preserve">- инвестиции в ценные бумаги, выпускаемые в соответствии с исламскими принципами банковского дела и финансирования и/или в капитал компании (в форме акций, финансового участия в капитале инвестируемой компании);</w:t>
      </w:r>
    </w:p>
    <w:p>
      <w:pPr>
        <w:spacing w:after="60"/>
        <w:ind w:firstLine="567"/>
        <w:jc w:val="both"/>
      </w:pPr>
      <w:r>
        <w:rPr>
          <w:rFonts w:ascii="Arial" w:cs="Arial" w:eastAsia="Arial" w:hAnsi="Arial"/>
          <w:sz w:val="24"/>
          <w:szCs w:val="24"/>
        </w:rPr>
        <w:t xml:space="preserve">- межбанковские размещения;</w:t>
      </w:r>
    </w:p>
    <w:p>
      <w:pPr>
        <w:spacing w:after="60"/>
        <w:ind w:firstLine="567"/>
        <w:jc w:val="both"/>
      </w:pPr>
      <w:r>
        <w:rPr>
          <w:rFonts w:ascii="Arial" w:cs="Arial" w:eastAsia="Arial" w:hAnsi="Arial"/>
          <w:sz w:val="24"/>
          <w:szCs w:val="24"/>
        </w:rPr>
        <w:t xml:space="preserve">- забалансовые обязательства (аккредитивы, гарантии и др.);</w:t>
      </w:r>
    </w:p>
    <w:p>
      <w:pPr>
        <w:spacing w:after="60"/>
        <w:ind w:firstLine="567"/>
        <w:jc w:val="both"/>
      </w:pPr>
      <w:r>
        <w:rPr>
          <w:rFonts w:ascii="Arial" w:cs="Arial" w:eastAsia="Arial" w:hAnsi="Arial"/>
          <w:sz w:val="24"/>
          <w:szCs w:val="24"/>
        </w:rPr>
        <w:t xml:space="preserve">- прочая собственность банка, принятая в погашение актива и/или в качестве компенсации потерь банка;</w:t>
      </w:r>
    </w:p>
    <w:p>
      <w:pPr>
        <w:spacing w:after="60"/>
        <w:ind w:firstLine="567"/>
        <w:jc w:val="both"/>
      </w:pPr>
      <w:r>
        <w:rPr>
          <w:rFonts w:ascii="Arial" w:cs="Arial" w:eastAsia="Arial" w:hAnsi="Arial"/>
          <w:sz w:val="24"/>
          <w:szCs w:val="24"/>
        </w:rPr>
        <w:t xml:space="preserve">- любые другие активы, не перечисленные выше, но которые несут в себе риск невозврата.</w:t>
      </w:r>
    </w:p>
    <w:p>
      <w:pPr>
        <w:spacing w:after="60"/>
        <w:ind w:firstLine="567"/>
        <w:jc w:val="both"/>
      </w:pPr>
      <w:r>
        <w:rPr>
          <w:rFonts w:ascii="Arial" w:cs="Arial" w:eastAsia="Arial" w:hAnsi="Arial"/>
          <w:sz w:val="24"/>
          <w:szCs w:val="24"/>
        </w:rPr>
        <w:t xml:space="preserve">Принимая во внимание специфику некоторых видов активов и забалансовых обязательств, размещаемых в соответствии с исламскими принципами банковского дела и финансирования, для межбанковских размещений, реструктуризированных активов, инвестиций в ценные бумаги, выпускаемые в соответствии с исламскими принципами банковского дела и финансирования и/или капитал компании, прочей собственности банка, а также для забалансовых обязательств настоящее Положение определяет специальные требования по их классификации.</w:t>
      </w:r>
    </w:p>
    <w:p>
      <w:pPr>
        <w:spacing w:after="60"/>
        <w:ind w:firstLine="567"/>
        <w:jc w:val="both"/>
      </w:pPr>
      <w:r>
        <w:rPr>
          <w:rFonts w:ascii="Arial" w:cs="Arial" w:eastAsia="Arial" w:hAnsi="Arial"/>
          <w:sz w:val="24"/>
          <w:szCs w:val="24"/>
        </w:rPr>
        <w:t xml:space="preserve">9. Для осуществления классификации активов банк должен отслеживать и анализировать данные о движении денежных средств и оценивать способность клиента получить достаточный объем денежных средств для выполнения условий договора. С учетом особенностей принципов исламского банковского дела и финансирования в договоре должно быть предусмотрено периодическое предоставление клиентом финансовой и другой отчетности, позволяющей банку оценивать выполнение клиентом условий договора.</w:t>
      </w:r>
    </w:p>
    <w:p>
      <w:pPr>
        <w:spacing w:after="60"/>
        <w:ind w:firstLine="567"/>
        <w:jc w:val="both"/>
      </w:pPr>
      <w:r>
        <w:rPr>
          <w:rFonts w:ascii="Arial" w:cs="Arial" w:eastAsia="Arial" w:hAnsi="Arial"/>
          <w:sz w:val="24"/>
          <w:szCs w:val="24"/>
        </w:rPr>
        <w:t xml:space="preserve">При этом отсутствие достоверной финансовой информации (например, заверенных внешним аудитором балансового отчета и отчета о доходах клиентов) и ее надлежащего анализа является серьезным недостатком. В соответствии с законодательством Кыргызской Республики ответственность за полноту и достоверность предоставляемой банку отчетности и информации несет клиент. Банк, принимая на себя риски, связанные с заключением договоров, должен проверять достоверность предоставляемых отчетов, как до момента предоставления актива, так и в последующем - до полного возврата средств банка.</w:t>
      </w:r>
    </w:p>
    <w:p>
      <w:pPr>
        <w:spacing w:after="200" w:before="200"/>
        <w:jc w:val="center"/>
      </w:pPr>
      <w:r>
        <w:rPr>
          <w:rFonts w:ascii="Arial" w:cs="Arial" w:eastAsia="Arial" w:hAnsi="Arial"/>
          <w:b/>
          <w:bCs/>
          <w:sz w:val="24"/>
          <w:szCs w:val="24"/>
        </w:rPr>
        <w:t xml:space="preserve">2. Основные понятия, применяемые в настоящем Положении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Кредитный риск</w:t>
      </w:r>
      <w:r>
        <w:rPr>
          <w:rFonts w:ascii="Arial" w:cs="Arial" w:eastAsia="Arial" w:hAnsi="Arial"/>
          <w:sz w:val="24"/>
          <w:szCs w:val="24"/>
        </w:rPr>
        <w:t xml:space="preserve"> - это риск потерь в результате снижения стоимости актива банка вследствие неисполнения или ненадлежащего исполнения клиентом своих обязательств в соответствии с условиями договора.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Просроченные активы</w:t>
      </w:r>
      <w:r>
        <w:rPr>
          <w:rFonts w:ascii="Arial" w:cs="Arial" w:eastAsia="Arial" w:hAnsi="Arial"/>
          <w:sz w:val="24"/>
          <w:szCs w:val="24"/>
        </w:rPr>
        <w:t xml:space="preserve"> - это активы банка, по которым:</w:t>
      </w:r>
    </w:p>
    <w:p>
      <w:pPr>
        <w:spacing w:after="60"/>
        <w:ind w:firstLine="567"/>
        <w:jc w:val="both"/>
      </w:pPr>
      <w:r>
        <w:rPr>
          <w:rFonts w:ascii="Arial" w:cs="Arial" w:eastAsia="Arial" w:hAnsi="Arial"/>
          <w:sz w:val="24"/>
          <w:szCs w:val="24"/>
        </w:rPr>
        <w:t xml:space="preserve">- клиентом нарушен график выполнения условий договора на срок 30 дней и более;</w:t>
      </w:r>
    </w:p>
    <w:p>
      <w:pPr>
        <w:spacing w:after="60"/>
        <w:ind w:firstLine="567"/>
        <w:jc w:val="both"/>
      </w:pPr>
      <w:r>
        <w:rPr>
          <w:rFonts w:ascii="Arial" w:cs="Arial" w:eastAsia="Arial" w:hAnsi="Arial"/>
          <w:sz w:val="24"/>
          <w:szCs w:val="24"/>
        </w:rPr>
        <w:t xml:space="preserve">- нарушен график плановых платежей на срок 30 дней и более;</w:t>
      </w:r>
    </w:p>
    <w:p>
      <w:pPr>
        <w:spacing w:after="60"/>
        <w:ind w:firstLine="567"/>
        <w:jc w:val="both"/>
      </w:pPr>
      <w:r>
        <w:rPr>
          <w:rFonts w:ascii="Arial" w:cs="Arial" w:eastAsia="Arial" w:hAnsi="Arial"/>
          <w:sz w:val="24"/>
          <w:szCs w:val="24"/>
        </w:rPr>
        <w:t xml:space="preserve">- нарушены сроки поставки товаров согласно договору на срок 30 дней и более;</w:t>
      </w:r>
    </w:p>
    <w:p>
      <w:pPr>
        <w:spacing w:after="60"/>
        <w:ind w:firstLine="567"/>
        <w:jc w:val="both"/>
      </w:pPr>
      <w:r>
        <w:rPr>
          <w:rFonts w:ascii="Arial" w:cs="Arial" w:eastAsia="Arial" w:hAnsi="Arial"/>
          <w:sz w:val="24"/>
          <w:szCs w:val="24"/>
        </w:rPr>
        <w:t xml:space="preserve">- нарушен график реализации проекта, финансовых потоков на срок 30 дней и более;</w:t>
      </w:r>
    </w:p>
    <w:p>
      <w:pPr>
        <w:spacing w:after="60"/>
        <w:ind w:firstLine="567"/>
        <w:jc w:val="both"/>
      </w:pPr>
      <w:r>
        <w:rPr>
          <w:rFonts w:ascii="Arial" w:cs="Arial" w:eastAsia="Arial" w:hAnsi="Arial"/>
          <w:sz w:val="24"/>
          <w:szCs w:val="24"/>
        </w:rPr>
        <w:t xml:space="preserve">- нарушены сроки исполнения договоров третьими сторонами на срок 30 дней и более.</w:t>
      </w:r>
    </w:p>
    <w:p>
      <w:pPr>
        <w:spacing w:after="60"/>
        <w:ind w:firstLine="567"/>
        <w:jc w:val="both"/>
      </w:pPr>
      <w:r>
        <w:rPr>
          <w:rFonts w:ascii="Arial" w:cs="Arial" w:eastAsia="Arial" w:hAnsi="Arial"/>
          <w:i/>
          <w:iCs/>
          <w:sz w:val="24"/>
          <w:szCs w:val="24"/>
        </w:rPr>
        <w:t xml:space="preserve">12.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22 февраля 2017 года № 6/4)</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Инвестиции банка в ценные бумаги и/или в капитал</w:t>
      </w:r>
      <w:r>
        <w:rPr>
          <w:rFonts w:ascii="Arial" w:cs="Arial" w:eastAsia="Arial" w:hAnsi="Arial"/>
          <w:sz w:val="24"/>
          <w:szCs w:val="24"/>
        </w:rPr>
        <w:t xml:space="preserve"> - вложения банка в ценные бумаги, выпускаемые по исламским принципам банковского дела и финансирования, и/или приобретение акций или финансовое вложение в капитал компаний, цель и деятельность которых соответствуют стандартам Шариата.</w:t>
      </w:r>
    </w:p>
    <w:p>
      <w:pPr>
        <w:spacing w:after="60"/>
        <w:ind w:firstLine="567"/>
        <w:jc w:val="both"/>
      </w:pPr>
      <w:r>
        <w:rPr>
          <w:rFonts w:ascii="Arial" w:cs="Arial" w:eastAsia="Arial" w:hAnsi="Arial"/>
          <w:sz w:val="24"/>
          <w:szCs w:val="24"/>
        </w:rPr>
        <w:t xml:space="preserve">Вложения средств банка в оборотные средства других компаний и участие в совместных проектах считаются активами, несущими в себе кредитный риск.</w:t>
      </w:r>
    </w:p>
    <w:p>
      <w:pPr>
        <w:spacing w:after="60"/>
        <w:ind w:firstLine="567"/>
        <w:jc w:val="both"/>
      </w:pPr>
      <w:r>
        <w:rPr>
          <w:rFonts w:ascii="Arial" w:cs="Arial" w:eastAsia="Arial" w:hAnsi="Arial"/>
          <w:sz w:val="24"/>
          <w:szCs w:val="24"/>
        </w:rPr>
        <w:t xml:space="preserve">Нерыночные инвестиции в ценные бумаги - это инвестиции в такие ценные бумаги, которые не котируются на рынке ценных бумаг, или рынок этих ценных бумаг не является развитым, эффективным, транспарентным и не позволяет определить справедливую стоимость этих ценных бумаг. При этом сделки с ценными бумагами могут носить эпизодический характер, а также отсутствует обширная, достоверная и легкодоступная для всех лиц информация о ценной бумаге.</w:t>
      </w:r>
    </w:p>
    <w:p>
      <w:pPr>
        <w:spacing w:after="60"/>
        <w:ind w:firstLine="567"/>
        <w:jc w:val="both"/>
      </w:pPr>
      <w:r>
        <w:rPr>
          <w:rFonts w:ascii="Arial" w:cs="Arial" w:eastAsia="Arial" w:hAnsi="Arial"/>
          <w:sz w:val="24"/>
          <w:szCs w:val="24"/>
        </w:rPr>
        <w:t xml:space="preserve">Все остальные инвестиции в ценные бумаги являются рыночными.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Общие требования по классификации активов</w:t>
      </w:r>
    </w:p>
    <w:p>
      <w:pPr>
        <w:spacing w:after="60"/>
        <w:ind w:firstLine="567"/>
        <w:jc w:val="both"/>
      </w:pPr>
      <w:r>
        <w:rPr>
          <w:rFonts w:ascii="Arial" w:cs="Arial" w:eastAsia="Arial" w:hAnsi="Arial"/>
          <w:sz w:val="24"/>
          <w:szCs w:val="24"/>
        </w:rPr>
        <w:t xml:space="preserve">14. Классификация активов осуществляется на основе анализа финансового состояния клиента банка (далее по тексту - клиента), качества залога, типа клиента по форме собственности, отраслевой принадлежности, наличия и видов гарантий по активам и надежностью самих гарантов, оценки выполнения ранее данных обязательств по активам банков, перспектив дальнейшего развития бизнеса клиента и других факторов.</w:t>
      </w:r>
    </w:p>
    <w:p>
      <w:pPr>
        <w:spacing w:after="60"/>
        <w:ind w:firstLine="567"/>
        <w:jc w:val="both"/>
      </w:pPr>
      <w:r>
        <w:rPr>
          <w:rFonts w:ascii="Arial" w:cs="Arial" w:eastAsia="Arial" w:hAnsi="Arial"/>
          <w:sz w:val="24"/>
          <w:szCs w:val="24"/>
        </w:rPr>
        <w:t xml:space="preserve">15. При проведении классификации активов необходимо руководствоваться здравым смыслом и суждением для отнесения актива к той или иной категории классификации, соблюдая, но, не ограничиваясь положениями, которые предусмотрены настоящим Положением.</w:t>
      </w:r>
    </w:p>
    <w:p>
      <w:pPr>
        <w:spacing w:after="60"/>
        <w:ind w:firstLine="567"/>
        <w:jc w:val="both"/>
      </w:pPr>
      <w:r>
        <w:rPr>
          <w:rFonts w:ascii="Arial" w:cs="Arial" w:eastAsia="Arial" w:hAnsi="Arial"/>
          <w:sz w:val="24"/>
          <w:szCs w:val="24"/>
        </w:rPr>
        <w:t xml:space="preserve">16. Во избежание возможных различных толкований определений категорий классификации вводятся количественные и качественные характеристики активов. Совокупность двух и более признаков определяет категорию классификации, если иное не установлено данным Положением.</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23 октября 2013 года N 39/8</w:t>
      </w:r>
      <w:r>
        <w:rPr>
          <w:rFonts w:ascii="Arial" w:cs="Arial" w:eastAsia="Arial" w:hAnsi="Arial"/>
          <w:i/>
          <w:iCs/>
          <w:sz w:val="24"/>
          <w:szCs w:val="24"/>
        </w:rPr>
        <w:t xml:space="preserve">, </w:t>
      </w:r>
      <w:r>
        <w:rPr>
          <w:rFonts w:ascii="Arial" w:cs="Arial" w:eastAsia="Arial" w:hAnsi="Arial"/>
          <w:i/>
          <w:iCs/>
          <w:sz w:val="24"/>
          <w:szCs w:val="24"/>
        </w:rPr>
        <w:t xml:space="preserve">14 октября 2015 года № 62/3</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17.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30 июня 2021 года № 2021-П-12/36-3)</w:t>
      </w:r>
    </w:p>
    <w:p>
      <w:pPr>
        <w:spacing w:after="60"/>
        <w:ind w:firstLine="567"/>
        <w:jc w:val="both"/>
      </w:pPr>
      <w:r>
        <w:rPr>
          <w:rFonts w:ascii="Arial" w:cs="Arial" w:eastAsia="Arial" w:hAnsi="Arial"/>
          <w:sz w:val="24"/>
          <w:szCs w:val="24"/>
        </w:rPr>
        <w:t xml:space="preserve">17-1. При проведении классификации активов банковской группы, предоставленных одному и тому же клиенту или группе связанных клиентов, необходимо учитывать классификацию данных активов, проведенную каждым из участников банковской группы и классифицировать данные активы по наихудшей из категорий классификации, проведенной каждым участником банковской группы по данным активам.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октября 2013 года N 39/8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17-2. При проведении классификации активов банком должно быть учтено соблюдение клиентом условий договора по любому другому активу, несущему в себе кредитный риск, в случае, если у клиента имеется непогашенная задолженность перед другими финансово-кредитными организациями. В связи с этим необходимо отслеживать наличие у клиента других активов, несущих в себе кредитный риск, и в других финансово-кредитных организациях на момент рассмотрения заявки, используя информацию, получаемую от клиента, через кредитно-информационное бюро, или иным доступным способом в рамках законодательства Кыргызской Республики. В дальнейшем в процессе мониторинга актива необходимо учитывать информацию, получаемую от клиента, о наличии у него активов, несущих в себе кредитный риск и полученных в других финансово-кредитных организациях, а также информацию о соблюдении им условий договора по данным активам. Договором финансирования должна быть предусмотрена обязанность предоставления клиентом не реже, чем 1 раз в полгода, указанной информации во время действия договора. При этом все финансово-кредитные организации обязаны предоставлять не позднее следующего рабочего дня по запросу клиента информацию о получении актива, несущего в себе кредитный риск, и о соблюдении клиентом условий договора для ее предоставления в другую финансово-кредитную организацию. </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17-3. При анализе вторичных источников погашения активов следует учитывать, что это обычно влечет за собой задержку платежей, связанную с трудностью определения стоимости реализации залога, с судебными издержками и отсрочками. Эти факторы обычно приводят к тому, что конечная сумма платежа по долгу, полученная с привлечением вторичного источника, не соответствует ожиданиям.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17-4. Если банк полагается полностью на лицо, выступающее в качестве поручителя или гаранта, как на вторичный источник погашения, то банк должен иметь полную информацию о финансовом положении данного лица для оценки его способности погасить задолженность в случае необходимости. Если указанное лицо стало единственным источником погашения задолженности, при классификации должны быть учтены не только его платежеспособность, но и желание погасить гарантированный им актив, которое должно быть оформлено в соответствующем документе. Если информация о гаранте является недостоверной или вообще отсутствует, то такая гарантия не должна приниматься во внимание при классификации актива.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17-5. Значительное отклонение от первоначального источника погашения является достаточным основанием классификации так же, как и неконкретные условия погашения или просрочка актива. Однако не все просроченные активы могут быть подвергнуты классификации. Актив может быть просрочен, но если в то же время он имеет обеспечение заложенными в банке денежными средствами или государственными ценными бумагами, которые еще не были погашены, то такой актив может быть признан неклассифицируемым.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17-6. Выраженное в письменной форме намерение и способность клиента выполнить свои обязательства по договору является первичным критерием оценки риска актива. Это подразумевает, что клиент должен иметь доходы или ликвидные активы, достаточные для сокращения или погашения самой задолженности перед банком в соответствии с договоренностью в разумные и предсказуемые сроки.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30 июня 2021 года № 2021-П-12/36-3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Договорные отношения между банком и его клиентами, отраженные в соответствующих договорах, должны осуществляться на основании законодательства Кыргызской Республики и не нарушать требования Шариата.</w:t>
      </w:r>
    </w:p>
    <w:p>
      <w:pPr>
        <w:spacing w:after="60"/>
        <w:ind w:firstLine="567"/>
        <w:jc w:val="both"/>
      </w:pPr>
      <w:r>
        <w:rPr>
          <w:rFonts w:ascii="Arial" w:cs="Arial" w:eastAsia="Arial" w:hAnsi="Arial"/>
          <w:sz w:val="24"/>
          <w:szCs w:val="24"/>
        </w:rPr>
        <w:t xml:space="preserve">19. Требования настоящего Положения предусматривают минимальный перечень критериев, необходимых для классификации активов. Национальный банк и сам банк вправе, принимая за основу требования настоящего Положения вводить дополнительные критерии оценки качества активов.</w:t>
      </w:r>
    </w:p>
    <w:p>
      <w:pPr>
        <w:spacing w:after="200" w:before="200"/>
        <w:jc w:val="center"/>
      </w:pPr>
      <w:r>
        <w:rPr>
          <w:rFonts w:ascii="Arial" w:cs="Arial" w:eastAsia="Arial" w:hAnsi="Arial"/>
          <w:b/>
          <w:bCs/>
          <w:sz w:val="24"/>
          <w:szCs w:val="24"/>
        </w:rPr>
        <w:t xml:space="preserve">4. Классификация активов</w:t>
      </w:r>
    </w:p>
    <w:p>
      <w:pPr>
        <w:spacing w:after="60"/>
        <w:ind w:firstLine="567"/>
        <w:jc w:val="both"/>
      </w:pPr>
      <w:r>
        <w:rPr>
          <w:rFonts w:ascii="Arial" w:cs="Arial" w:eastAsia="Arial" w:hAnsi="Arial"/>
          <w:sz w:val="24"/>
          <w:szCs w:val="24"/>
        </w:rPr>
        <w:t xml:space="preserve">20. В целях классификации активов и создания РППУ устанавливаются следующие категории:</w:t>
      </w:r>
    </w:p>
    <w:p>
      <w:pPr>
        <w:spacing w:after="60"/>
        <w:ind w:firstLine="567"/>
        <w:jc w:val="both"/>
      </w:pPr>
      <w:r>
        <w:rPr>
          <w:rFonts w:ascii="Arial" w:cs="Arial" w:eastAsia="Arial" w:hAnsi="Arial"/>
          <w:sz w:val="24"/>
          <w:szCs w:val="24"/>
        </w:rPr>
        <w:t xml:space="preserve">Неклассифицированные активы:</w:t>
      </w:r>
    </w:p>
    <w:p>
      <w:pPr>
        <w:spacing w:after="60"/>
        <w:ind w:firstLine="567"/>
        <w:jc w:val="both"/>
      </w:pPr>
      <w:r>
        <w:rPr>
          <w:rFonts w:ascii="Arial" w:cs="Arial" w:eastAsia="Arial" w:hAnsi="Arial"/>
          <w:sz w:val="24"/>
          <w:szCs w:val="24"/>
        </w:rPr>
        <w:t xml:space="preserve">1) нормальные;</w:t>
      </w:r>
    </w:p>
    <w:p>
      <w:pPr>
        <w:spacing w:after="60"/>
        <w:ind w:firstLine="567"/>
        <w:jc w:val="both"/>
      </w:pPr>
      <w:r>
        <w:rPr>
          <w:rFonts w:ascii="Arial" w:cs="Arial" w:eastAsia="Arial" w:hAnsi="Arial"/>
          <w:sz w:val="24"/>
          <w:szCs w:val="24"/>
        </w:rPr>
        <w:t xml:space="preserve">2) удовлетворительные;</w:t>
      </w:r>
    </w:p>
    <w:p>
      <w:pPr>
        <w:spacing w:after="60"/>
        <w:ind w:firstLine="567"/>
        <w:jc w:val="both"/>
      </w:pPr>
      <w:r>
        <w:rPr>
          <w:rFonts w:ascii="Arial" w:cs="Arial" w:eastAsia="Arial" w:hAnsi="Arial"/>
          <w:sz w:val="24"/>
          <w:szCs w:val="24"/>
        </w:rPr>
        <w:t xml:space="preserve">3) активы под наблюдением.</w:t>
      </w:r>
    </w:p>
    <w:p>
      <w:pPr>
        <w:spacing w:after="60"/>
        <w:ind w:firstLine="567"/>
        <w:jc w:val="both"/>
      </w:pPr>
      <w:r>
        <w:rPr>
          <w:rFonts w:ascii="Arial" w:cs="Arial" w:eastAsia="Arial" w:hAnsi="Arial"/>
          <w:sz w:val="24"/>
          <w:szCs w:val="24"/>
        </w:rPr>
        <w:t xml:space="preserve">Классифицированные активы:</w:t>
      </w:r>
    </w:p>
    <w:p>
      <w:pPr>
        <w:spacing w:after="60"/>
        <w:ind w:firstLine="567"/>
        <w:jc w:val="both"/>
      </w:pPr>
      <w:r>
        <w:rPr>
          <w:rFonts w:ascii="Arial" w:cs="Arial" w:eastAsia="Arial" w:hAnsi="Arial"/>
          <w:sz w:val="24"/>
          <w:szCs w:val="24"/>
        </w:rPr>
        <w:t xml:space="preserve">4) субстандартные активы;</w:t>
      </w:r>
    </w:p>
    <w:p>
      <w:pPr>
        <w:spacing w:after="60"/>
        <w:ind w:firstLine="567"/>
        <w:jc w:val="both"/>
      </w:pPr>
      <w:r>
        <w:rPr>
          <w:rFonts w:ascii="Arial" w:cs="Arial" w:eastAsia="Arial" w:hAnsi="Arial"/>
          <w:sz w:val="24"/>
          <w:szCs w:val="24"/>
        </w:rPr>
        <w:t xml:space="preserve">5) сомнительные активы;</w:t>
      </w:r>
    </w:p>
    <w:p>
      <w:pPr>
        <w:spacing w:after="60"/>
        <w:ind w:firstLine="567"/>
        <w:jc w:val="both"/>
      </w:pPr>
      <w:r>
        <w:rPr>
          <w:rFonts w:ascii="Arial" w:cs="Arial" w:eastAsia="Arial" w:hAnsi="Arial"/>
          <w:sz w:val="24"/>
          <w:szCs w:val="24"/>
        </w:rPr>
        <w:t xml:space="preserve">6) активы, классифицируемые как потери.</w:t>
      </w:r>
    </w:p>
    <w:p>
      <w:pPr>
        <w:spacing w:after="200" w:before="200"/>
        <w:jc w:val="center"/>
      </w:pPr>
      <w:r>
        <w:rPr>
          <w:rFonts w:ascii="Arial" w:cs="Arial" w:eastAsia="Arial" w:hAnsi="Arial"/>
          <w:b/>
          <w:bCs/>
          <w:sz w:val="24"/>
          <w:szCs w:val="24"/>
        </w:rPr>
        <w:t xml:space="preserve">§1. Неклассифицированные активы</w:t>
      </w:r>
    </w:p>
    <w:p>
      <w:pPr>
        <w:spacing w:after="60"/>
        <w:ind w:firstLine="567"/>
        <w:jc w:val="both"/>
      </w:pPr>
      <w:r>
        <w:rPr>
          <w:rFonts w:ascii="Arial" w:cs="Arial" w:eastAsia="Arial" w:hAnsi="Arial"/>
          <w:sz w:val="24"/>
          <w:szCs w:val="24"/>
        </w:rPr>
        <w:t xml:space="preserve">21. Нормальные активы - это активы, которые обеспечены как минимум на 120 процентов от суммы актива залогом (в виде заклада), состоящим из:</w:t>
      </w:r>
    </w:p>
    <w:p>
      <w:pPr>
        <w:spacing w:after="60"/>
        <w:ind w:firstLine="567"/>
        <w:jc w:val="both"/>
      </w:pPr>
      <w:r>
        <w:rPr>
          <w:rFonts w:ascii="Arial" w:cs="Arial" w:eastAsia="Arial" w:hAnsi="Arial"/>
          <w:sz w:val="24"/>
          <w:szCs w:val="24"/>
        </w:rPr>
        <w:t xml:space="preserve">- государственных ценных бумаг Кыргызской Республики и нот Национального банка (далее - ГЦБ) (если срок погашения ГЦБ наступает до срока погашения актива, то банк должен в качестве залогового обеспечения принять денежные средства, полученные от погашения ГЦБ, либо принять в качестве обеспечения дополнительно аналогичный (аналогичные) ГЦБ;</w:t>
      </w:r>
    </w:p>
    <w:p>
      <w:pPr>
        <w:spacing w:after="60"/>
        <w:ind w:firstLine="567"/>
        <w:jc w:val="both"/>
      </w:pPr>
      <w:r>
        <w:rPr>
          <w:rFonts w:ascii="Arial" w:cs="Arial" w:eastAsia="Arial" w:hAnsi="Arial"/>
          <w:sz w:val="24"/>
          <w:szCs w:val="24"/>
        </w:rPr>
        <w:t xml:space="preserve">- средств, размещенных физическим или юридическим лицом на отдельном счете, открытом в данном банке в целях хранения денежных средств. Расчетный счет клиентов и корреспондентский счет банка не могут использоваться в качестве обеспечения;</w:t>
      </w:r>
    </w:p>
    <w:p>
      <w:pPr>
        <w:spacing w:after="60"/>
        <w:ind w:firstLine="567"/>
        <w:jc w:val="both"/>
      </w:pPr>
      <w:r>
        <w:rPr>
          <w:rFonts w:ascii="Arial" w:cs="Arial" w:eastAsia="Arial" w:hAnsi="Arial"/>
          <w:sz w:val="24"/>
          <w:szCs w:val="24"/>
        </w:rPr>
        <w:t xml:space="preserve">- исламских ценных бумаг, включенных в листинги фондовых бирж Кыргызской Республики по наивысшей и следующей за наивысшей категорией листинга в соответствии с законодательством Кыргызской Республики (далее - исламские ценные бумаги), при условии соблюдения минимальных требований, установленных </w:t>
      </w:r>
      <w:r>
        <w:rPr>
          <w:rFonts w:ascii="Arial" w:cs="Arial" w:eastAsia="Arial" w:hAnsi="Arial"/>
          <w:sz w:val="24"/>
          <w:szCs w:val="24"/>
        </w:rPr>
        <w:t xml:space="preserve">Приложением 1</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Нормальными также называются те активы, которые обеспечены как минимум на 100 процентов от суммы актива залогом (в виде заклада), состоящим из золота в виде аффинированных мерных слитков.</w:t>
      </w:r>
    </w:p>
    <w:p>
      <w:pPr>
        <w:spacing w:after="60"/>
        <w:ind w:firstLine="567"/>
        <w:jc w:val="both"/>
      </w:pPr>
      <w:r>
        <w:rPr>
          <w:rFonts w:ascii="Arial" w:cs="Arial" w:eastAsia="Arial" w:hAnsi="Arial"/>
          <w:sz w:val="24"/>
          <w:szCs w:val="24"/>
        </w:rPr>
        <w:t xml:space="preserve">Примечание: Аффинированные мерные слитки - изготовленные и маркированные слитки из драгоценных металлов, эмитируемые (выпускаемые) Национальным банком или аффинажным предприятием, сертифицированным Лондонской ассоциацией рынка драгоценных металлов, массой 1000 г и менее, с содержанием химически чистого основного металла не менее 99,95-99,99 процентов лигатурной массы слитка для золота и не менее 99,90 процентов лигатурной массы слитка для серебра/платины.</w:t>
      </w:r>
    </w:p>
    <w:p>
      <w:pPr>
        <w:spacing w:after="60"/>
        <w:ind w:firstLine="567"/>
        <w:jc w:val="both"/>
      </w:pPr>
      <w:r>
        <w:rPr>
          <w:rFonts w:ascii="Arial" w:cs="Arial" w:eastAsia="Arial" w:hAnsi="Arial"/>
          <w:sz w:val="24"/>
          <w:szCs w:val="24"/>
        </w:rPr>
        <w:t xml:space="preserve">При этом должны выполняться следующие условия:</w:t>
      </w:r>
    </w:p>
    <w:p>
      <w:pPr>
        <w:spacing w:after="60"/>
        <w:ind w:firstLine="567"/>
        <w:jc w:val="both"/>
      </w:pPr>
      <w:r>
        <w:rPr>
          <w:rFonts w:ascii="Arial" w:cs="Arial" w:eastAsia="Arial" w:hAnsi="Arial"/>
          <w:sz w:val="24"/>
          <w:szCs w:val="24"/>
        </w:rPr>
        <w:t xml:space="preserve">1) договором о предоставлении актива и договором о залоге должно быть предусмотрено, что денежные средства, размещенные на отдельном счете, ГЦБ и исламские ценные бумаги являются обеспечением выданных банком средств и банк вправе в безакцептном порядке обратить на них взыскание в случае неисполнения клиентом своих обязательств;</w:t>
      </w:r>
    </w:p>
    <w:p>
      <w:pPr>
        <w:spacing w:after="60"/>
        <w:ind w:firstLine="567"/>
        <w:jc w:val="both"/>
      </w:pPr>
      <w:r>
        <w:rPr>
          <w:rFonts w:ascii="Arial" w:cs="Arial" w:eastAsia="Arial" w:hAnsi="Arial"/>
          <w:sz w:val="24"/>
          <w:szCs w:val="24"/>
        </w:rPr>
        <w:t xml:space="preserve">2) договор о залоге должен предусматривать недопущение дальнейшего перезалога денежных средств, размещенных на отдельном счете, ГЦБ и исламских ценных бумаг;</w:t>
      </w:r>
    </w:p>
    <w:p>
      <w:pPr>
        <w:spacing w:after="60"/>
        <w:ind w:firstLine="567"/>
        <w:jc w:val="both"/>
      </w:pPr>
      <w:r>
        <w:rPr>
          <w:rFonts w:ascii="Arial" w:cs="Arial" w:eastAsia="Arial" w:hAnsi="Arial"/>
          <w:sz w:val="24"/>
          <w:szCs w:val="24"/>
        </w:rPr>
        <w:t xml:space="preserve">3) банк должен иметь в наличии соответствующие процедуры и осуществлять внутренний контроль, обеспечивающие надлежащее исполнение всех процедур, связанных с оформлением залога и сохранностью денежных средств, привлеченных по исламским принципам банковского дела и финансирования, ГЦБ и исламских ценных бумаг до окончания срока, предусмотренного договором;</w:t>
      </w:r>
    </w:p>
    <w:p>
      <w:pPr>
        <w:spacing w:after="60"/>
        <w:ind w:firstLine="567"/>
        <w:jc w:val="both"/>
      </w:pPr>
      <w:r>
        <w:rPr>
          <w:rFonts w:ascii="Arial" w:cs="Arial" w:eastAsia="Arial" w:hAnsi="Arial"/>
          <w:sz w:val="24"/>
          <w:szCs w:val="24"/>
        </w:rPr>
        <w:t xml:space="preserve">4) средства, размещенные на отдельном счете и являющиеся обеспечением актива, должны быть в национальной валюте Кыргызской Республики, либо в валюте, свободно конвертируемой в кыргызские сомы на основании общедоступных и достоверных котировок валют. Если денежные средства, привлеченные по исламским принципам банковского дела и финансирования, представлены в той же валюте, что и актив, то они должны покрывать актив не менее чем на 100 процентов, а денежные средства, привлеченные по исламским принципам банковского дела и финансирования в валюте, отличной от валюты актива, - не менее, чем на 120 процентов в сомовом эквиваленте;</w:t>
      </w:r>
    </w:p>
    <w:p>
      <w:pPr>
        <w:spacing w:after="60"/>
        <w:ind w:firstLine="567"/>
        <w:jc w:val="both"/>
      </w:pPr>
      <w:r>
        <w:rPr>
          <w:rFonts w:ascii="Arial" w:cs="Arial" w:eastAsia="Arial" w:hAnsi="Arial"/>
          <w:sz w:val="24"/>
          <w:szCs w:val="24"/>
        </w:rPr>
        <w:t xml:space="preserve">5) необходимо обязательное проведение еженедельной переоценки денежных средств, привлеченных по исламским принципам банковского дела и финансирования, в случае если в качестве обеспечения актива предоставлены денежные средства в валюте, отличной от валюты актива;</w:t>
      </w:r>
    </w:p>
    <w:p>
      <w:pPr>
        <w:spacing w:after="60"/>
        <w:ind w:firstLine="567"/>
        <w:jc w:val="both"/>
      </w:pPr>
      <w:r>
        <w:rPr>
          <w:rFonts w:ascii="Arial" w:cs="Arial" w:eastAsia="Arial" w:hAnsi="Arial"/>
          <w:sz w:val="24"/>
          <w:szCs w:val="24"/>
        </w:rPr>
        <w:t xml:space="preserve">6) если по результатам переоценки стоимость залога уменьшилась, то банк обязан немедленно потребовать увеличения его стоимости в соответствии с требованиями настоящего Положения и обеспечить исполнение этого требования в течение 10 (десяти) рабочих дней;</w:t>
      </w:r>
    </w:p>
    <w:p>
      <w:pPr>
        <w:spacing w:after="60"/>
        <w:ind w:firstLine="567"/>
        <w:jc w:val="both"/>
      </w:pPr>
      <w:r>
        <w:rPr>
          <w:rFonts w:ascii="Arial" w:cs="Arial" w:eastAsia="Arial" w:hAnsi="Arial"/>
          <w:sz w:val="24"/>
          <w:szCs w:val="24"/>
        </w:rPr>
        <w:t xml:space="preserve">7) в случае если требования, указанные в подпунктах 1-6, не выполнены, то такой актив будет считаться не полностью обеспеченным и он должен быть переведен в другую категорию классификации.</w:t>
      </w:r>
    </w:p>
    <w:p>
      <w:pPr>
        <w:spacing w:after="60"/>
        <w:ind w:firstLine="567"/>
        <w:jc w:val="both"/>
      </w:pPr>
      <w:r>
        <w:rPr>
          <w:rFonts w:ascii="Arial" w:cs="Arial" w:eastAsia="Arial" w:hAnsi="Arial"/>
          <w:sz w:val="24"/>
          <w:szCs w:val="24"/>
        </w:rPr>
        <w:t xml:space="preserve">Банки могут классифицировать активы, несущие в себе кредитный риск, в национальной валюте как "нормальные активы" в случае, если они соответствуют требованиям, указанным в пункте 22 настоящего Положения.</w:t>
      </w:r>
    </w:p>
    <w:p>
      <w:pPr>
        <w:spacing w:after="60"/>
        <w:ind w:firstLine="567"/>
        <w:jc w:val="both"/>
      </w:pPr>
      <w:r>
        <w:rPr>
          <w:rFonts w:ascii="Arial" w:cs="Arial" w:eastAsia="Arial" w:hAnsi="Arial"/>
          <w:sz w:val="24"/>
          <w:szCs w:val="24"/>
        </w:rPr>
        <w:t xml:space="preserve">Банки могут классифицировать вновь выданные активы, несущие в себе кредитный риск, в долларах США как "нормальные активы", в случае если они соответствуют требованиям, указанным в пункте 22 настоящего Положения, с формированием РППУ в размере от 0 до 2 процентов вне зависимости от структуры доходов, в соответствии с внутренней политикой банка. При этом данные требования распространяются на льготные активы, выданные в рамках сотрудничества Правительства Кыргызской Республики с Правительством Российской Федерации (Российско-Кыргызский Фонд развития - далее Фонд развития), в том числе по активам за счет средств, привлеченных и гарантированных Фондом развития от иных зарубежных финансовых институтов, включая ранее выданные активы, погашение которых будет осуществляться за счет финансирования из средств Фонда развития и предусматривает изменение первоначальных условий договора финансирования.</w:t>
      </w:r>
    </w:p>
    <w:p>
      <w:pPr>
        <w:spacing w:after="60"/>
        <w:ind w:firstLine="567"/>
        <w:jc w:val="both"/>
      </w:pPr>
      <w:r>
        <w:rPr>
          <w:rFonts w:ascii="Arial" w:cs="Arial" w:eastAsia="Arial" w:hAnsi="Arial"/>
          <w:sz w:val="24"/>
          <w:szCs w:val="24"/>
        </w:rPr>
        <w:t xml:space="preserve">За счет средств Фонда развития не могут быть реструктуризированы активы банков, а также профинансированы ранее выданные активы, которые входят в категорию "классифицированных" активов..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Удовлетворительные активы - это активы, по которым клиентом выполняются обязательства по договорам с банком.</w:t>
      </w:r>
    </w:p>
    <w:p>
      <w:pPr>
        <w:spacing w:after="60"/>
        <w:ind w:firstLine="567"/>
        <w:jc w:val="both"/>
      </w:pPr>
      <w:r>
        <w:rPr>
          <w:rFonts w:ascii="Arial" w:cs="Arial" w:eastAsia="Arial" w:hAnsi="Arial"/>
          <w:sz w:val="24"/>
          <w:szCs w:val="24"/>
        </w:rPr>
        <w:t xml:space="preserve">Характерными признаками, при проявлении которых актив считается удовлетворительным, являются:</w:t>
      </w:r>
    </w:p>
    <w:p>
      <w:pPr>
        <w:spacing w:after="60"/>
        <w:ind w:firstLine="567"/>
        <w:jc w:val="both"/>
      </w:pPr>
      <w:r>
        <w:rPr>
          <w:rFonts w:ascii="Arial" w:cs="Arial" w:eastAsia="Arial" w:hAnsi="Arial"/>
          <w:sz w:val="24"/>
          <w:szCs w:val="24"/>
        </w:rPr>
        <w:t xml:space="preserve">- финансовое состояние клиента удовлетворительное;</w:t>
      </w:r>
    </w:p>
    <w:p>
      <w:pPr>
        <w:spacing w:after="60"/>
        <w:ind w:firstLine="567"/>
        <w:jc w:val="both"/>
      </w:pPr>
      <w:r>
        <w:rPr>
          <w:rFonts w:ascii="Arial" w:cs="Arial" w:eastAsia="Arial" w:hAnsi="Arial"/>
          <w:sz w:val="24"/>
          <w:szCs w:val="24"/>
        </w:rPr>
        <w:t xml:space="preserve">- предприятие клиента является стабильным, хорошо капитализированным;</w:t>
      </w:r>
    </w:p>
    <w:p>
      <w:pPr>
        <w:spacing w:after="60"/>
        <w:ind w:firstLine="567"/>
        <w:jc w:val="both"/>
      </w:pPr>
      <w:r>
        <w:rPr>
          <w:rFonts w:ascii="Arial" w:cs="Arial" w:eastAsia="Arial" w:hAnsi="Arial"/>
          <w:sz w:val="24"/>
          <w:szCs w:val="24"/>
        </w:rPr>
        <w:t xml:space="preserve">- выполнение условий договора с банком осуществляется своевременно;</w:t>
      </w:r>
    </w:p>
    <w:p>
      <w:pPr>
        <w:spacing w:after="60"/>
        <w:ind w:firstLine="567"/>
        <w:jc w:val="both"/>
      </w:pPr>
      <w:r>
        <w:rPr>
          <w:rFonts w:ascii="Arial" w:cs="Arial" w:eastAsia="Arial" w:hAnsi="Arial"/>
          <w:sz w:val="24"/>
          <w:szCs w:val="24"/>
        </w:rPr>
        <w:t xml:space="preserve">- имеется имущественное обеспечение, на которое может быть обращено взыскание и/или гарантия/поручительство, соответствующее требованиям </w:t>
      </w:r>
      <w:r>
        <w:rPr>
          <w:rFonts w:ascii="Arial" w:cs="Arial" w:eastAsia="Arial" w:hAnsi="Arial"/>
          <w:sz w:val="24"/>
          <w:szCs w:val="24"/>
        </w:rPr>
        <w:t xml:space="preserve">Положения</w:t>
      </w:r>
      <w:r>
        <w:rPr>
          <w:rFonts w:ascii="Arial" w:cs="Arial" w:eastAsia="Arial" w:hAnsi="Arial"/>
          <w:sz w:val="24"/>
          <w:szCs w:val="24"/>
        </w:rPr>
        <w:t xml:space="preserve">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25 сентября 2013 года № 35/13, за счет которого может быть погашена задолженность;</w:t>
      </w:r>
    </w:p>
    <w:p>
      <w:pPr>
        <w:spacing w:after="60"/>
        <w:ind w:firstLine="567"/>
        <w:jc w:val="both"/>
      </w:pPr>
      <w:r>
        <w:rPr>
          <w:rFonts w:ascii="Arial" w:cs="Arial" w:eastAsia="Arial" w:hAnsi="Arial"/>
          <w:sz w:val="24"/>
          <w:szCs w:val="24"/>
        </w:rPr>
        <w:t xml:space="preserve">- клиент имеет положительную кредитную историю (не допускал задержек в выполнении своих обязательств, предусмотренных договором с банком);</w:t>
      </w:r>
    </w:p>
    <w:p>
      <w:pPr>
        <w:spacing w:after="60"/>
        <w:ind w:firstLine="567"/>
        <w:jc w:val="both"/>
      </w:pPr>
      <w:r>
        <w:rPr>
          <w:rFonts w:ascii="Arial" w:cs="Arial" w:eastAsia="Arial" w:hAnsi="Arial"/>
          <w:sz w:val="24"/>
          <w:szCs w:val="24"/>
        </w:rPr>
        <w:t xml:space="preserve">- изменение первоначальных условий договора по активу, несущему в себе кредитный риск, путем перевода валюты данного актива из иностранной валюты в национальную в случае, если этот актив ранее не входил в категорию "классифицированных активов".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2015 года № 62/3</w:t>
      </w:r>
      <w:r>
        <w:rPr>
          <w:rFonts w:ascii="Arial" w:cs="Arial" w:eastAsia="Arial" w:hAnsi="Arial"/>
          <w:i/>
          <w:iCs/>
          <w:sz w:val="24"/>
          <w:szCs w:val="24"/>
        </w:rPr>
        <w:t xml:space="preserve">, </w:t>
      </w:r>
      <w:r>
        <w:rPr>
          <w:rFonts w:ascii="Arial" w:cs="Arial" w:eastAsia="Arial" w:hAnsi="Arial"/>
          <w:i/>
          <w:iCs/>
          <w:sz w:val="24"/>
          <w:szCs w:val="24"/>
        </w:rPr>
        <w:t xml:space="preserve">27 апреля 2016 года № 19/6</w:t>
      </w:r>
      <w:r>
        <w:rPr>
          <w:rFonts w:ascii="Arial" w:cs="Arial" w:eastAsia="Arial" w:hAnsi="Arial"/>
          <w:i/>
          <w:iCs/>
          <w:sz w:val="24"/>
          <w:szCs w:val="24"/>
        </w:rPr>
        <w:t xml:space="preserve">,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22-1. Банк должен классифицировать актив в иностранной валюте (кроме валют стран-членов Евразийского экономического союза (далее - ЕАЭС)), как минимум, как "удовлетворительный" актив в случае, если у клиента, получившего данный актив, доля доходов (выручки) в иностранной валюте (кроме валют стран-членов ЕАЭС) в общем объеме его совокупных доходов (выручки) составляет более 75 процентов.</w:t>
      </w:r>
    </w:p>
    <w:p>
      <w:pPr>
        <w:spacing w:after="60"/>
        <w:ind w:firstLine="567"/>
        <w:jc w:val="both"/>
      </w:pPr>
      <w:r>
        <w:rPr>
          <w:rFonts w:ascii="Arial" w:cs="Arial" w:eastAsia="Arial" w:hAnsi="Arial"/>
          <w:sz w:val="24"/>
          <w:szCs w:val="24"/>
        </w:rPr>
        <w:t xml:space="preserve">Примечание: Список стран-членов ЕАЭС размещен по адресу: </w:t>
      </w:r>
      <w:r>
        <w:rPr>
          <w:rFonts w:ascii="Arial" w:cs="Arial" w:eastAsia="Arial" w:hAnsi="Arial"/>
          <w:sz w:val="24"/>
          <w:szCs w:val="24"/>
        </w:rPr>
        <w:t xml:space="preserve">http://www.eaeunion.org/</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2016 года № 25/2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22-2. Банк может создать РППУ в размере 1 процента по финансированию в иностранной валюте (за исключением финансирования, выдаваемого за счет средств Фонда развития) вне зависимости от структуры дохода клиента, в случае если эффективная процентная ставка на момент выдачи финансирования ниже на 2 процентных пункта средневзвешенной процентной ставки по выданным кредитам в иностранной валюте, публикуемой Национальным банком.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Активами под наблюдением называются активы, по которым наблюдаются определенные негативные тенденции, из которых следует, что если по подобным активам не будут приняты соответствующие меры, то возможно дальнейшее ухудшение их качества.</w:t>
      </w:r>
    </w:p>
    <w:p>
      <w:pPr>
        <w:spacing w:after="60"/>
        <w:ind w:firstLine="567"/>
        <w:jc w:val="both"/>
      </w:pPr>
      <w:r>
        <w:rPr>
          <w:rFonts w:ascii="Arial" w:cs="Arial" w:eastAsia="Arial" w:hAnsi="Arial"/>
          <w:sz w:val="24"/>
          <w:szCs w:val="24"/>
        </w:rPr>
        <w:t xml:space="preserve">Характерными признаками, при проявлении которых актив считается активом под наблюдением, являются:</w:t>
      </w:r>
    </w:p>
    <w:p>
      <w:pPr>
        <w:spacing w:after="60"/>
        <w:ind w:firstLine="567"/>
        <w:jc w:val="both"/>
      </w:pPr>
      <w:r>
        <w:rPr>
          <w:rFonts w:ascii="Arial" w:cs="Arial" w:eastAsia="Arial" w:hAnsi="Arial"/>
          <w:sz w:val="24"/>
          <w:szCs w:val="24"/>
        </w:rPr>
        <w:t xml:space="preserve">- неполное обеспечение актива, в остальном имеющего все характеристики, присущие удовлетворительным активам:</w:t>
      </w:r>
    </w:p>
    <w:p>
      <w:pPr>
        <w:spacing w:after="60"/>
        <w:ind w:firstLine="567"/>
        <w:jc w:val="both"/>
      </w:pPr>
      <w:r>
        <w:rPr>
          <w:rFonts w:ascii="Arial" w:cs="Arial" w:eastAsia="Arial" w:hAnsi="Arial"/>
          <w:sz w:val="24"/>
          <w:szCs w:val="24"/>
        </w:rPr>
        <w:t xml:space="preserve">- появление тенденций ухудшения финансового состояния клиента;</w:t>
      </w:r>
    </w:p>
    <w:p>
      <w:pPr>
        <w:spacing w:after="60"/>
        <w:ind w:firstLine="567"/>
        <w:jc w:val="both"/>
      </w:pPr>
      <w:r>
        <w:rPr>
          <w:rFonts w:ascii="Arial" w:cs="Arial" w:eastAsia="Arial" w:hAnsi="Arial"/>
          <w:sz w:val="24"/>
          <w:szCs w:val="24"/>
        </w:rPr>
        <w:t xml:space="preserve">- изменение рыночных условий, которые могут повлиять на выполнение клиентом условий договора, заключенного с банком;</w:t>
      </w:r>
    </w:p>
    <w:p>
      <w:pPr>
        <w:spacing w:after="60"/>
        <w:ind w:firstLine="567"/>
        <w:jc w:val="both"/>
      </w:pPr>
      <w:r>
        <w:rPr>
          <w:rFonts w:ascii="Arial" w:cs="Arial" w:eastAsia="Arial" w:hAnsi="Arial"/>
          <w:sz w:val="24"/>
          <w:szCs w:val="24"/>
        </w:rPr>
        <w:t xml:space="preserve">- нарушение клиентом графика выполнения условий договора на срок до 30 дней;</w:t>
      </w:r>
    </w:p>
    <w:p>
      <w:pPr>
        <w:spacing w:after="60"/>
        <w:ind w:firstLine="567"/>
        <w:jc w:val="both"/>
      </w:pPr>
      <w:r>
        <w:rPr>
          <w:rFonts w:ascii="Arial" w:cs="Arial" w:eastAsia="Arial" w:hAnsi="Arial"/>
          <w:sz w:val="24"/>
          <w:szCs w:val="24"/>
        </w:rPr>
        <w:t xml:space="preserve">- нарушение графика плановых платежей на срок до 30 дней;</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до 30 дней;</w:t>
      </w:r>
    </w:p>
    <w:p>
      <w:pPr>
        <w:spacing w:after="60"/>
        <w:ind w:firstLine="567"/>
        <w:jc w:val="both"/>
      </w:pPr>
      <w:r>
        <w:rPr>
          <w:rFonts w:ascii="Arial" w:cs="Arial" w:eastAsia="Arial" w:hAnsi="Arial"/>
          <w:sz w:val="24"/>
          <w:szCs w:val="24"/>
        </w:rPr>
        <w:t xml:space="preserve">- нарушение графика реализации проекта, финансовых потоков на срок до 30 дней;</w:t>
      </w:r>
    </w:p>
    <w:p>
      <w:pPr>
        <w:spacing w:after="60"/>
        <w:ind w:firstLine="567"/>
        <w:jc w:val="both"/>
      </w:pPr>
      <w:r>
        <w:rPr>
          <w:rFonts w:ascii="Arial" w:cs="Arial" w:eastAsia="Arial" w:hAnsi="Arial"/>
          <w:sz w:val="24"/>
          <w:szCs w:val="24"/>
        </w:rPr>
        <w:t xml:space="preserve">- нарушение сроков исполнения договоров третьими сторонами на срок до 30 дней;</w:t>
      </w:r>
    </w:p>
    <w:p>
      <w:pPr>
        <w:spacing w:after="60"/>
        <w:ind w:firstLine="567"/>
        <w:jc w:val="both"/>
      </w:pPr>
      <w:r>
        <w:rPr>
          <w:rFonts w:ascii="Arial" w:cs="Arial" w:eastAsia="Arial" w:hAnsi="Arial"/>
          <w:sz w:val="24"/>
          <w:szCs w:val="24"/>
        </w:rPr>
        <w:t xml:space="preserve">- невозможность для банка проводить мониторинг залога из-за недостаточной документации, либо из-за отсутствия экспертов по его оценке;</w:t>
      </w:r>
    </w:p>
    <w:p>
      <w:pPr>
        <w:spacing w:after="60"/>
        <w:ind w:firstLine="567"/>
        <w:jc w:val="both"/>
      </w:pPr>
      <w:r>
        <w:rPr>
          <w:rFonts w:ascii="Arial" w:cs="Arial" w:eastAsia="Arial" w:hAnsi="Arial"/>
          <w:sz w:val="24"/>
          <w:szCs w:val="24"/>
        </w:rPr>
        <w:t xml:space="preserve">- намечающееся уменьшение ликвидности залога (снижение цен, падение курса валют);</w:t>
      </w:r>
    </w:p>
    <w:p>
      <w:pPr>
        <w:spacing w:after="60"/>
        <w:ind w:firstLine="567"/>
        <w:jc w:val="both"/>
      </w:pPr>
      <w:r>
        <w:rPr>
          <w:rFonts w:ascii="Arial" w:cs="Arial" w:eastAsia="Arial" w:hAnsi="Arial"/>
          <w:sz w:val="24"/>
          <w:szCs w:val="24"/>
        </w:rPr>
        <w:t xml:space="preserve">- реструктуризированный актив, который не имел признаков классифицированных активов на дату реструктуризации;</w:t>
      </w:r>
    </w:p>
    <w:p>
      <w:pPr>
        <w:spacing w:after="60"/>
        <w:ind w:firstLine="567"/>
        <w:jc w:val="both"/>
      </w:pPr>
      <w:r>
        <w:rPr>
          <w:rFonts w:ascii="Arial" w:cs="Arial" w:eastAsia="Arial" w:hAnsi="Arial"/>
          <w:sz w:val="24"/>
          <w:szCs w:val="24"/>
        </w:rPr>
        <w:t xml:space="preserve">- повторное изменение условий договора по активу путем перевода валюты данного актива из иностранной валюты в национальную в случае, если этот актив ранее не входил в категорию "классифицированных активов" и при этом, если данное изменение не связано с ухудшением финансового состояния клиента;</w:t>
      </w:r>
    </w:p>
    <w:p>
      <w:pPr>
        <w:spacing w:after="60"/>
        <w:ind w:firstLine="567"/>
        <w:jc w:val="both"/>
      </w:pPr>
      <w:r>
        <w:rPr>
          <w:rFonts w:ascii="Arial" w:cs="Arial" w:eastAsia="Arial" w:hAnsi="Arial"/>
          <w:sz w:val="24"/>
          <w:szCs w:val="24"/>
        </w:rPr>
        <w:t xml:space="preserve">- реструктуризация классифицированных активов, которые подпадают под условия пункта 34-4 Положения.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23 октября 2013 года N 39/8</w:t>
      </w:r>
      <w:r>
        <w:rPr>
          <w:rFonts w:ascii="Arial" w:cs="Arial" w:eastAsia="Arial" w:hAnsi="Arial"/>
          <w:i/>
          <w:iCs/>
          <w:sz w:val="24"/>
          <w:szCs w:val="24"/>
        </w:rPr>
        <w:t xml:space="preserve">, </w:t>
      </w:r>
      <w:r>
        <w:rPr>
          <w:rFonts w:ascii="Arial" w:cs="Arial" w:eastAsia="Arial" w:hAnsi="Arial"/>
          <w:i/>
          <w:iCs/>
          <w:sz w:val="24"/>
          <w:szCs w:val="24"/>
        </w:rPr>
        <w:t xml:space="preserve">14 октября 2015 года № 62/3</w:t>
      </w:r>
      <w:r>
        <w:rPr>
          <w:rFonts w:ascii="Arial" w:cs="Arial" w:eastAsia="Arial" w:hAnsi="Arial"/>
          <w:i/>
          <w:iCs/>
          <w:sz w:val="24"/>
          <w:szCs w:val="24"/>
        </w:rPr>
        <w:t xml:space="preserve">, </w:t>
      </w:r>
      <w:r>
        <w:rPr>
          <w:rFonts w:ascii="Arial" w:cs="Arial" w:eastAsia="Arial" w:hAnsi="Arial"/>
          <w:i/>
          <w:iCs/>
          <w:sz w:val="24"/>
          <w:szCs w:val="24"/>
        </w:rPr>
        <w:t xml:space="preserve">23 декабря 2015 года № 78/23</w:t>
      </w:r>
      <w:r>
        <w:rPr>
          <w:rFonts w:ascii="Arial" w:cs="Arial" w:eastAsia="Arial" w:hAnsi="Arial"/>
          <w:i/>
          <w:iCs/>
          <w:sz w:val="24"/>
          <w:szCs w:val="24"/>
        </w:rPr>
        <w:t xml:space="preserve">, </w:t>
      </w:r>
      <w:r>
        <w:rPr>
          <w:rFonts w:ascii="Arial" w:cs="Arial" w:eastAsia="Arial" w:hAnsi="Arial"/>
          <w:i/>
          <w:iCs/>
          <w:sz w:val="24"/>
          <w:szCs w:val="24"/>
        </w:rPr>
        <w:t xml:space="preserve">27 апреля 2016 года № 19/6</w:t>
      </w:r>
      <w:r>
        <w:rPr>
          <w:rFonts w:ascii="Arial" w:cs="Arial" w:eastAsia="Arial" w:hAnsi="Arial"/>
          <w:i/>
          <w:iCs/>
          <w:sz w:val="24"/>
          <w:szCs w:val="24"/>
        </w:rPr>
        <w:t xml:space="preserve">,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23-1. Банк должен классифицировать актив, несущий в себе кредитный риск, в иностранной валюте (кроме валют стран-членов ЕАЭС) как минимум как "актив под наблюдением" в случае, если у клиента, получившего данный актив, доля доходов (выручки) в иностранной валюте (кроме валют стран-членов ЕАЭС) в общем объеме его совокупных доходов (выручки) составляет от 50 до 75 процентов.</w:t>
      </w:r>
    </w:p>
    <w:p>
      <w:pPr>
        <w:spacing w:after="60"/>
        <w:ind w:firstLine="567"/>
        <w:jc w:val="both"/>
      </w:pPr>
      <w:r>
        <w:rPr>
          <w:rFonts w:ascii="Arial" w:cs="Arial" w:eastAsia="Arial" w:hAnsi="Arial"/>
          <w:i/>
          <w:iCs/>
          <w:sz w:val="24"/>
          <w:szCs w:val="24"/>
        </w:rPr>
        <w:t xml:space="preserve">(В редакции</w:t>
      </w:r>
      <w:r>
        <w:rPr>
          <w:rFonts w:ascii="Arial" w:cs="Arial" w:eastAsia="Arial" w:hAnsi="Arial"/>
          <w:i/>
          <w:iCs/>
          <w:sz w:val="24"/>
          <w:szCs w:val="24"/>
        </w:rPr>
        <w:t xml:space="preserve">постановления Правления Нацбанка КР от </w:t>
      </w:r>
      <w:r>
        <w:rPr>
          <w:rFonts w:ascii="Arial" w:cs="Arial" w:eastAsia="Arial" w:hAnsi="Arial"/>
          <w:i/>
          <w:iCs/>
          <w:sz w:val="24"/>
          <w:szCs w:val="24"/>
        </w:rPr>
        <w:t xml:space="preserve">27 апреля 2016 года № 19/6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23-2. Банк должен классифицировать актив, несущий в себе кредитный риск, в иностранной валюте (кроме валют стран-членов ЕАЭС) как минимум как "актив под наблюдением" в случае, если у клиента, получившего данный актив, доля доходов (выручки) в иностранной валюте (кроме валют стран-членов ЕАЭС) в общем объеме его совокупных доходов (выручки) составляет менее 50 процентов.</w:t>
      </w:r>
    </w:p>
    <w:p>
      <w:pPr>
        <w:spacing w:after="60"/>
        <w:ind w:firstLine="567"/>
        <w:jc w:val="both"/>
      </w:pPr>
      <w:r>
        <w:rPr>
          <w:rFonts w:ascii="Arial" w:cs="Arial" w:eastAsia="Arial" w:hAnsi="Arial"/>
          <w:i/>
          <w:iCs/>
          <w:sz w:val="24"/>
          <w:szCs w:val="24"/>
        </w:rPr>
        <w:t xml:space="preserve">(В редакции</w:t>
      </w:r>
      <w:r>
        <w:rPr>
          <w:rFonts w:ascii="Arial" w:cs="Arial" w:eastAsia="Arial" w:hAnsi="Arial"/>
          <w:i/>
          <w:iCs/>
          <w:sz w:val="24"/>
          <w:szCs w:val="24"/>
        </w:rPr>
        <w:t xml:space="preserve">постановления Правления Нацбанка КР от </w:t>
      </w:r>
      <w:r>
        <w:rPr>
          <w:rFonts w:ascii="Arial" w:cs="Arial" w:eastAsia="Arial" w:hAnsi="Arial"/>
          <w:i/>
          <w:iCs/>
          <w:sz w:val="24"/>
          <w:szCs w:val="24"/>
        </w:rPr>
        <w:t xml:space="preserve">27 апреля 2016 года № 19/6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23-3. В случае если график погашения актива как вновь выданного, так и действующего, предусматривает неравномерное погашение основной суммы не на ежемесячной основе, при этом срок погашения действующего актива составляет более двух лет (с 20 января 2016 года), то по таким активам, при условии, что не наблюдается ухудшения качества активов, необходимо увеличивать РППУ в размере 2% каждые полгода, за исключением активов:</w:t>
      </w:r>
    </w:p>
    <w:p>
      <w:pPr>
        <w:spacing w:after="60"/>
        <w:ind w:firstLine="567"/>
        <w:jc w:val="both"/>
      </w:pPr>
      <w:r>
        <w:rPr>
          <w:rFonts w:ascii="Arial" w:cs="Arial" w:eastAsia="Arial" w:hAnsi="Arial"/>
          <w:sz w:val="24"/>
          <w:szCs w:val="24"/>
        </w:rPr>
        <w:t xml:space="preserve">- выданных по целевым государственным программам Правительства Кыргызской Республики, предусматривающим предоставление льготного периода погашения актива;</w:t>
      </w:r>
    </w:p>
    <w:p>
      <w:pPr>
        <w:spacing w:after="60"/>
        <w:ind w:firstLine="567"/>
        <w:jc w:val="both"/>
      </w:pPr>
      <w:r>
        <w:rPr>
          <w:rFonts w:ascii="Arial" w:cs="Arial" w:eastAsia="Arial" w:hAnsi="Arial"/>
          <w:sz w:val="24"/>
          <w:szCs w:val="24"/>
        </w:rPr>
        <w:t xml:space="preserve">- на сумму менее 1% от ЧСК в совокупности выданных одному клиенту;</w:t>
      </w:r>
    </w:p>
    <w:p>
      <w:pPr>
        <w:spacing w:after="60"/>
        <w:ind w:firstLine="567"/>
        <w:jc w:val="both"/>
      </w:pPr>
      <w:r>
        <w:rPr>
          <w:rFonts w:ascii="Arial" w:cs="Arial" w:eastAsia="Arial" w:hAnsi="Arial"/>
          <w:sz w:val="24"/>
          <w:szCs w:val="24"/>
        </w:rPr>
        <w:t xml:space="preserve">- на сумму менее 10% от ЧСК по договорам мудараба, шарика и истиснаа в совокупности выданных одному клиенту;</w:t>
      </w:r>
    </w:p>
    <w:p>
      <w:pPr>
        <w:spacing w:after="60"/>
        <w:ind w:firstLine="567"/>
        <w:jc w:val="both"/>
      </w:pPr>
      <w:r>
        <w:rPr>
          <w:rFonts w:ascii="Arial" w:cs="Arial" w:eastAsia="Arial" w:hAnsi="Arial"/>
          <w:sz w:val="24"/>
          <w:szCs w:val="24"/>
        </w:rPr>
        <w:t xml:space="preserve">- межбанковские размещения, в том числе активы, выданные микрофинансовым организациям;</w:t>
      </w:r>
    </w:p>
    <w:p>
      <w:pPr>
        <w:spacing w:after="60"/>
        <w:ind w:firstLine="567"/>
        <w:jc w:val="both"/>
      </w:pPr>
      <w:r>
        <w:rPr>
          <w:rFonts w:ascii="Arial" w:cs="Arial" w:eastAsia="Arial" w:hAnsi="Arial"/>
          <w:sz w:val="24"/>
          <w:szCs w:val="24"/>
        </w:rPr>
        <w:t xml:space="preserve">- относящихся к категории "классифицированных" активов.</w:t>
      </w:r>
    </w:p>
    <w:p>
      <w:pPr>
        <w:spacing w:after="60"/>
        <w:ind w:firstLine="567"/>
        <w:jc w:val="both"/>
      </w:pPr>
      <w:r>
        <w:rPr>
          <w:rFonts w:ascii="Arial" w:cs="Arial" w:eastAsia="Arial" w:hAnsi="Arial"/>
          <w:sz w:val="24"/>
          <w:szCs w:val="24"/>
        </w:rPr>
        <w:t xml:space="preserve">После вступления в силу данной нормы по всем вновь выданным активам и по всем действующим активам, относящимся к категории "неклассифицированных", в том числе по всем траншам в рамках одной кредитной линии, необходимо создавать РППУ согласно вышеуказанному требованию.</w:t>
      </w:r>
    </w:p>
    <w:p>
      <w:pPr>
        <w:spacing w:after="60"/>
        <w:ind w:firstLine="567"/>
        <w:jc w:val="both"/>
      </w:pPr>
      <w:r>
        <w:rPr>
          <w:rFonts w:ascii="Arial" w:cs="Arial" w:eastAsia="Arial" w:hAnsi="Arial"/>
          <w:sz w:val="24"/>
          <w:szCs w:val="24"/>
        </w:rPr>
        <w:t xml:space="preserve">Также исключением из данного пункта является финансирование, предоставленное в рамках Фонда развития, а также финансирование, предоставленное под гарантию Фонда развития, согласно пункту 21 настоящего Положения.</w:t>
      </w:r>
    </w:p>
    <w:p>
      <w:pPr>
        <w:spacing w:after="60"/>
        <w:ind w:firstLine="567"/>
        <w:jc w:val="both"/>
      </w:pPr>
      <w:r>
        <w:rPr>
          <w:rFonts w:ascii="Arial" w:cs="Arial" w:eastAsia="Arial" w:hAnsi="Arial"/>
          <w:i/>
          <w:iCs/>
          <w:sz w:val="24"/>
          <w:szCs w:val="24"/>
        </w:rPr>
        <w:t xml:space="preserve">(В редакции</w:t>
      </w:r>
      <w:r>
        <w:rPr>
          <w:rFonts w:ascii="Arial" w:cs="Arial" w:eastAsia="Arial" w:hAnsi="Arial"/>
          <w:i/>
          <w:iCs/>
          <w:sz w:val="24"/>
          <w:szCs w:val="24"/>
        </w:rPr>
        <w:t xml:space="preserve">постановлений Правления Нацбанка КР от </w:t>
      </w:r>
      <w:r>
        <w:rPr>
          <w:rFonts w:ascii="Arial" w:cs="Arial" w:eastAsia="Arial" w:hAnsi="Arial"/>
          <w:i/>
          <w:iCs/>
          <w:sz w:val="24"/>
          <w:szCs w:val="24"/>
        </w:rPr>
        <w:t xml:space="preserve">27 апреля 2016 года № 19/6</w:t>
      </w:r>
      <w:r>
        <w:rPr>
          <w:rFonts w:ascii="Arial" w:cs="Arial" w:eastAsia="Arial" w:hAnsi="Arial"/>
          <w:i/>
          <w:iCs/>
          <w:sz w:val="24"/>
          <w:szCs w:val="24"/>
        </w:rPr>
        <w:t xml:space="preserve">,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Классифицированные активы</w:t>
      </w:r>
    </w:p>
    <w:p>
      <w:pPr>
        <w:spacing w:after="60"/>
        <w:ind w:firstLine="567"/>
        <w:jc w:val="both"/>
      </w:pPr>
      <w:r>
        <w:rPr>
          <w:rFonts w:ascii="Arial" w:cs="Arial" w:eastAsia="Arial" w:hAnsi="Arial"/>
          <w:sz w:val="24"/>
          <w:szCs w:val="24"/>
        </w:rPr>
        <w:t xml:space="preserve">24. Субстандартными активами называются активы, по которым наблюдаются определенные негативные тенденции, достаточно ясно показывающие, что банку необходимо досоздать РППУ и/или принять соответствующие меры, направленные на улучшение качества актива.</w:t>
      </w:r>
    </w:p>
    <w:p>
      <w:pPr>
        <w:spacing w:after="60"/>
        <w:ind w:firstLine="567"/>
        <w:jc w:val="both"/>
      </w:pPr>
      <w:r>
        <w:rPr>
          <w:rFonts w:ascii="Arial" w:cs="Arial" w:eastAsia="Arial" w:hAnsi="Arial"/>
          <w:sz w:val="24"/>
          <w:szCs w:val="24"/>
        </w:rPr>
        <w:t xml:space="preserve">Характерными признаками, при проявлении которых актив можно считать субстандартным, являются:</w:t>
      </w:r>
    </w:p>
    <w:p>
      <w:pPr>
        <w:spacing w:after="60"/>
        <w:ind w:firstLine="567"/>
        <w:jc w:val="both"/>
      </w:pPr>
      <w:r>
        <w:rPr>
          <w:rFonts w:ascii="Arial" w:cs="Arial" w:eastAsia="Arial" w:hAnsi="Arial"/>
          <w:sz w:val="24"/>
          <w:szCs w:val="24"/>
        </w:rPr>
        <w:t xml:space="preserve">- нарушение графика выполнения условий договора клиентом на срок от 30 до 90 дней;</w:t>
      </w:r>
    </w:p>
    <w:p>
      <w:pPr>
        <w:spacing w:after="60"/>
        <w:ind w:firstLine="567"/>
        <w:jc w:val="both"/>
      </w:pPr>
      <w:r>
        <w:rPr>
          <w:rFonts w:ascii="Arial" w:cs="Arial" w:eastAsia="Arial" w:hAnsi="Arial"/>
          <w:sz w:val="24"/>
          <w:szCs w:val="24"/>
        </w:rPr>
        <w:t xml:space="preserve">- нарушение графика плановых платежей на срок от 30 до 90 дней;</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от 30 до 90 дней;</w:t>
      </w:r>
    </w:p>
    <w:p>
      <w:pPr>
        <w:spacing w:after="60"/>
        <w:ind w:firstLine="567"/>
        <w:jc w:val="both"/>
      </w:pPr>
      <w:r>
        <w:rPr>
          <w:rFonts w:ascii="Arial" w:cs="Arial" w:eastAsia="Arial" w:hAnsi="Arial"/>
          <w:sz w:val="24"/>
          <w:szCs w:val="24"/>
        </w:rPr>
        <w:t xml:space="preserve">- нарушение графика реализации проекта, финансовых потоков на срок от 30 до 90 дней;</w:t>
      </w:r>
    </w:p>
    <w:p>
      <w:pPr>
        <w:spacing w:after="60"/>
        <w:ind w:firstLine="567"/>
        <w:jc w:val="both"/>
      </w:pPr>
      <w:r>
        <w:rPr>
          <w:rFonts w:ascii="Arial" w:cs="Arial" w:eastAsia="Arial" w:hAnsi="Arial"/>
          <w:sz w:val="24"/>
          <w:szCs w:val="24"/>
        </w:rPr>
        <w:t xml:space="preserve">- нарушение сроков исполнения договоров третьими сторонами на срок от 30 до 90 дней;</w:t>
      </w:r>
    </w:p>
    <w:p>
      <w:pPr>
        <w:spacing w:after="60"/>
        <w:ind w:firstLine="567"/>
        <w:jc w:val="both"/>
      </w:pPr>
      <w:r>
        <w:rPr>
          <w:rFonts w:ascii="Arial" w:cs="Arial" w:eastAsia="Arial" w:hAnsi="Arial"/>
          <w:sz w:val="24"/>
          <w:szCs w:val="24"/>
        </w:rPr>
        <w:t xml:space="preserve">- наличие достоверной негативной информации о финансовом состоянии клиента;</w:t>
      </w:r>
    </w:p>
    <w:p>
      <w:pPr>
        <w:spacing w:after="60"/>
        <w:ind w:firstLine="567"/>
        <w:jc w:val="both"/>
      </w:pPr>
      <w:r>
        <w:rPr>
          <w:rFonts w:ascii="Arial" w:cs="Arial" w:eastAsia="Arial" w:hAnsi="Arial"/>
          <w:sz w:val="24"/>
          <w:szCs w:val="24"/>
        </w:rPr>
        <w:t xml:space="preserve">- актив обеспечен залогом не в полной мере или наблюдается ухудшение качества залога, либо залог обесценивается;</w:t>
      </w:r>
    </w:p>
    <w:p>
      <w:pPr>
        <w:spacing w:after="60"/>
        <w:ind w:firstLine="567"/>
        <w:jc w:val="both"/>
      </w:pPr>
      <w:r>
        <w:rPr>
          <w:rFonts w:ascii="Arial" w:cs="Arial" w:eastAsia="Arial" w:hAnsi="Arial"/>
          <w:sz w:val="24"/>
          <w:szCs w:val="24"/>
        </w:rPr>
        <w:t xml:space="preserve">- невыполнение клиентом - физическим лицом, в том числе, являющимся индивидуальным предпринимателем без образования юридического лица, условий договора более 30 дней по любому другому активу, несущему в себе кредитный риск, за исключением активов, профинансированных по целевым государственным программам Правительства Кыргызской Республики в данном банке и/или другой финансово-кредитной организации;</w:t>
      </w:r>
    </w:p>
    <w:p>
      <w:pPr>
        <w:spacing w:after="60"/>
        <w:ind w:firstLine="567"/>
        <w:jc w:val="both"/>
      </w:pPr>
      <w:r>
        <w:rPr>
          <w:rFonts w:ascii="Arial" w:cs="Arial" w:eastAsia="Arial" w:hAnsi="Arial"/>
          <w:sz w:val="24"/>
          <w:szCs w:val="24"/>
        </w:rPr>
        <w:t xml:space="preserve">- невыполнение супругом(ой), родителями и детьми клиента - физического лица, в том числе, являющегося индивидуальным предпринимателем без образования юридического лица, условий договора более 60 дней по активам, несущим в себе кредитный риск, перед данным банком и/или другими финансово-кредитными организациями, за исключением активов, профинансированных по целевым государственным программам Правительства Кыргызской Республики, при условии, что источник погашения всех вышеуказанных активов один и тот же. При этом под одним и тем же источником погашения активов, несущих в себе кредитный риск, понимается совокупный доход вышеуказанных лиц, учтенный финансово-кредитной организацией при принятии решения о выдаче актива, включая доход от предпринимательской деятельности.</w:t>
      </w:r>
    </w:p>
    <w:p>
      <w:pPr>
        <w:spacing w:after="60"/>
        <w:ind w:firstLine="567"/>
        <w:jc w:val="both"/>
      </w:pPr>
      <w:r>
        <w:rPr>
          <w:rFonts w:ascii="Arial" w:cs="Arial" w:eastAsia="Arial" w:hAnsi="Arial"/>
          <w:sz w:val="24"/>
          <w:szCs w:val="24"/>
        </w:rPr>
        <w:t xml:space="preserve">Примечание: Признаки, указанные в абзацах десятом и одиннадцатом настоящего пункта, не распространяются на овердрафты в рамках зарплатных проектов.</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24-1.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27 апреля 2016 года № 19/6)</w:t>
      </w:r>
    </w:p>
    <w:p>
      <w:pPr>
        <w:spacing w:after="60"/>
        <w:ind w:firstLine="567"/>
        <w:jc w:val="both"/>
      </w:pPr>
      <w:r>
        <w:rPr>
          <w:rFonts w:ascii="Arial" w:cs="Arial" w:eastAsia="Arial" w:hAnsi="Arial"/>
          <w:sz w:val="24"/>
          <w:szCs w:val="24"/>
        </w:rPr>
        <w:t xml:space="preserve">24-2. Актив должен классифицироваться как "субстандартный" при просроченной задолженности 90 дней. При этом качественные признаки такого актива не могут улучшать категорию классификации актива, за исключением активов, имеющих залоговое обеспечение согласно пункту 21 Положения.</w:t>
      </w:r>
    </w:p>
    <w:p>
      <w:pPr>
        <w:spacing w:after="60"/>
        <w:ind w:firstLine="567"/>
        <w:jc w:val="both"/>
      </w:pPr>
      <w:r>
        <w:rPr>
          <w:rFonts w:ascii="Arial" w:cs="Arial" w:eastAsia="Arial" w:hAnsi="Arial"/>
          <w:sz w:val="24"/>
          <w:szCs w:val="24"/>
        </w:rPr>
        <w:t xml:space="preserve">Актив, полностью обеспеченный поручительством/гарантией, необходимо классифицировать как "субстандартный" при наступлении 60-го дня просроченности по платежам, то есть до наступления срока, указанного в настоящем пункте данного Положения.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24-3. Если по реструктуризированному активу, который был классифицирован как "актив под наблюдением", возникли просроченные платежи более чем на 30 дней или данный актив был реструктуризирован повторно, то такой актив должен классифицироваться как "субстандартный".</w:t>
      </w:r>
    </w:p>
    <w:p>
      <w:pPr>
        <w:spacing w:after="60"/>
        <w:ind w:firstLine="567"/>
        <w:jc w:val="both"/>
      </w:pPr>
      <w:r>
        <w:rPr>
          <w:rFonts w:ascii="Arial" w:cs="Arial" w:eastAsia="Arial" w:hAnsi="Arial"/>
          <w:sz w:val="24"/>
          <w:szCs w:val="24"/>
        </w:rPr>
        <w:t xml:space="preserve">При этом, если данный "субстандартный" актив обеспечен залогом в виде недвижимого имущества как минимум на 120% от суммы актива, то банк может формировать РППУ в размере 15% в течение одного года с момента повторной реструктуризации.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24-4. В случае если график погашения вновь выданного актива предусматривает погашение основной суммы не на ежемесячной основе и при этом погашение более 80 процентов основной суммы предусмотрено по истечению:</w:t>
      </w:r>
    </w:p>
    <w:p>
      <w:pPr>
        <w:spacing w:after="60"/>
        <w:ind w:firstLine="567"/>
        <w:jc w:val="both"/>
      </w:pPr>
      <w:r>
        <w:rPr>
          <w:rFonts w:ascii="Arial" w:cs="Arial" w:eastAsia="Arial" w:hAnsi="Arial"/>
          <w:sz w:val="24"/>
          <w:szCs w:val="24"/>
        </w:rPr>
        <w:t xml:space="preserve">- 3/4 от общего срока актива, при этом общий срок периода финансирования менее 3 (трех) лет;</w:t>
      </w:r>
    </w:p>
    <w:p>
      <w:pPr>
        <w:spacing w:after="60"/>
        <w:ind w:firstLine="567"/>
        <w:jc w:val="both"/>
      </w:pPr>
      <w:r>
        <w:rPr>
          <w:rFonts w:ascii="Arial" w:cs="Arial" w:eastAsia="Arial" w:hAnsi="Arial"/>
          <w:sz w:val="24"/>
          <w:szCs w:val="24"/>
        </w:rPr>
        <w:t xml:space="preserve">- 1/2 от общего срока актива, при этом общий срок периода финансирования более 3 (трех) лет;</w:t>
      </w:r>
    </w:p>
    <w:p>
      <w:pPr>
        <w:spacing w:after="60"/>
        <w:ind w:firstLine="567"/>
        <w:jc w:val="both"/>
      </w:pPr>
      <w:r>
        <w:rPr>
          <w:rFonts w:ascii="Arial" w:cs="Arial" w:eastAsia="Arial" w:hAnsi="Arial"/>
          <w:sz w:val="24"/>
          <w:szCs w:val="24"/>
        </w:rPr>
        <w:t xml:space="preserve">то такие активы необходимо классифицировать как "субстандартные", с формированием РППУ в размере 25 процентов, за исключением активов:</w:t>
      </w:r>
    </w:p>
    <w:p>
      <w:pPr>
        <w:spacing w:after="60"/>
        <w:ind w:firstLine="567"/>
        <w:jc w:val="both"/>
      </w:pPr>
      <w:r>
        <w:rPr>
          <w:rFonts w:ascii="Arial" w:cs="Arial" w:eastAsia="Arial" w:hAnsi="Arial"/>
          <w:sz w:val="24"/>
          <w:szCs w:val="24"/>
        </w:rPr>
        <w:t xml:space="preserve">- выданных по целевым государственным программам Правительства Кыргызской Республики, предусматривающим предоставление льготного периода погашения актива;</w:t>
      </w:r>
    </w:p>
    <w:p>
      <w:pPr>
        <w:spacing w:after="60"/>
        <w:ind w:firstLine="567"/>
        <w:jc w:val="both"/>
      </w:pPr>
      <w:r>
        <w:rPr>
          <w:rFonts w:ascii="Arial" w:cs="Arial" w:eastAsia="Arial" w:hAnsi="Arial"/>
          <w:sz w:val="24"/>
          <w:szCs w:val="24"/>
        </w:rPr>
        <w:t xml:space="preserve">- межбанковских размещений, в том числе активов, выданных микрофинансовым организациям;</w:t>
      </w:r>
    </w:p>
    <w:p>
      <w:pPr>
        <w:spacing w:after="60"/>
        <w:ind w:firstLine="567"/>
        <w:jc w:val="both"/>
      </w:pPr>
      <w:r>
        <w:rPr>
          <w:rFonts w:ascii="Arial" w:cs="Arial" w:eastAsia="Arial" w:hAnsi="Arial"/>
          <w:sz w:val="24"/>
          <w:szCs w:val="24"/>
        </w:rPr>
        <w:t xml:space="preserve">- на сумму менее 1 процента от ЧСК в совокупности выданных одному клиенту;</w:t>
      </w:r>
    </w:p>
    <w:p>
      <w:pPr>
        <w:spacing w:after="60"/>
        <w:ind w:firstLine="567"/>
        <w:jc w:val="both"/>
      </w:pPr>
      <w:r>
        <w:rPr>
          <w:rFonts w:ascii="Arial" w:cs="Arial" w:eastAsia="Arial" w:hAnsi="Arial"/>
          <w:sz w:val="24"/>
          <w:szCs w:val="24"/>
        </w:rPr>
        <w:t xml:space="preserve">- на сумму менее 10 процентов от ЧСК по договорам мудараба, шарика и истиснаа в совокупности выданных одному клиенту.</w:t>
      </w:r>
    </w:p>
    <w:p>
      <w:pPr>
        <w:spacing w:after="60"/>
        <w:ind w:firstLine="567"/>
        <w:jc w:val="both"/>
      </w:pPr>
      <w:r>
        <w:rPr>
          <w:rFonts w:ascii="Arial" w:cs="Arial" w:eastAsia="Arial" w:hAnsi="Arial"/>
          <w:sz w:val="24"/>
          <w:szCs w:val="24"/>
        </w:rPr>
        <w:t xml:space="preserve">Исключением из данного пункта являются льготные активы, выданные в рамках Фонда развития, согласно пункту 21 настоящего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Сомнительным активам характерны четко определенные недостатки (недостаток) или слабые стороны, которые несут в себе риск неисполнения клиентом обязательств, предусмотренных договором, в связи с чем возможность погашения задолженности становится сомнительной и маловероятной. В случае, если недостатки не будут устранены, то существует вероятность того, что банк понесет значительные потери.</w:t>
      </w:r>
    </w:p>
    <w:p>
      <w:pPr>
        <w:spacing w:after="60"/>
        <w:ind w:firstLine="567"/>
        <w:jc w:val="both"/>
      </w:pPr>
      <w:r>
        <w:rPr>
          <w:rFonts w:ascii="Arial" w:cs="Arial" w:eastAsia="Arial" w:hAnsi="Arial"/>
          <w:sz w:val="24"/>
          <w:szCs w:val="24"/>
        </w:rPr>
        <w:t xml:space="preserve">Признаками, при проявлении которых актив считается сомнительным, являются:</w:t>
      </w:r>
    </w:p>
    <w:p>
      <w:pPr>
        <w:spacing w:after="60"/>
        <w:ind w:firstLine="567"/>
        <w:jc w:val="both"/>
      </w:pPr>
      <w:r>
        <w:rPr>
          <w:rFonts w:ascii="Arial" w:cs="Arial" w:eastAsia="Arial" w:hAnsi="Arial"/>
          <w:sz w:val="24"/>
          <w:szCs w:val="24"/>
        </w:rPr>
        <w:t xml:space="preserve">- нарушение графика выполнения условий договора клиентом на срок от 90 до 180 дней;</w:t>
      </w:r>
    </w:p>
    <w:p>
      <w:pPr>
        <w:spacing w:after="60"/>
        <w:ind w:firstLine="567"/>
        <w:jc w:val="both"/>
      </w:pPr>
      <w:r>
        <w:rPr>
          <w:rFonts w:ascii="Arial" w:cs="Arial" w:eastAsia="Arial" w:hAnsi="Arial"/>
          <w:sz w:val="24"/>
          <w:szCs w:val="24"/>
        </w:rPr>
        <w:t xml:space="preserve">- нарушение графика плановых платежей на срок от 90 до 180 дней;</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от 90 до 180 дней;</w:t>
      </w:r>
    </w:p>
    <w:p>
      <w:pPr>
        <w:spacing w:after="60"/>
        <w:ind w:firstLine="567"/>
        <w:jc w:val="both"/>
      </w:pPr>
      <w:r>
        <w:rPr>
          <w:rFonts w:ascii="Arial" w:cs="Arial" w:eastAsia="Arial" w:hAnsi="Arial"/>
          <w:sz w:val="24"/>
          <w:szCs w:val="24"/>
        </w:rPr>
        <w:t xml:space="preserve">- нарушение графика реализации проекта, финансовых потоков на срок от 90 до 180 дней;</w:t>
      </w:r>
    </w:p>
    <w:p>
      <w:pPr>
        <w:spacing w:after="60"/>
        <w:ind w:firstLine="567"/>
        <w:jc w:val="both"/>
      </w:pPr>
      <w:r>
        <w:rPr>
          <w:rFonts w:ascii="Arial" w:cs="Arial" w:eastAsia="Arial" w:hAnsi="Arial"/>
          <w:sz w:val="24"/>
          <w:szCs w:val="24"/>
        </w:rPr>
        <w:t xml:space="preserve">- нарушение сроков исполнения договоров третьими сторонами на срок от 90 до 180 дней;</w:t>
      </w:r>
    </w:p>
    <w:p>
      <w:pPr>
        <w:spacing w:after="60"/>
        <w:ind w:firstLine="567"/>
        <w:jc w:val="both"/>
      </w:pPr>
      <w:r>
        <w:rPr>
          <w:rFonts w:ascii="Arial" w:cs="Arial" w:eastAsia="Arial" w:hAnsi="Arial"/>
          <w:sz w:val="24"/>
          <w:szCs w:val="24"/>
        </w:rPr>
        <w:t xml:space="preserve">- наличие достоверной негативной информации о финансовом состоянии клиента;</w:t>
      </w:r>
    </w:p>
    <w:p>
      <w:pPr>
        <w:spacing w:after="60"/>
        <w:ind w:firstLine="567"/>
        <w:jc w:val="both"/>
      </w:pPr>
      <w:r>
        <w:rPr>
          <w:rFonts w:ascii="Arial" w:cs="Arial" w:eastAsia="Arial" w:hAnsi="Arial"/>
          <w:sz w:val="24"/>
          <w:szCs w:val="24"/>
        </w:rPr>
        <w:t xml:space="preserve">- не предусмотренная бизнес-планом, согласованным с банком, убыточная деятельность клиента;</w:t>
      </w:r>
    </w:p>
    <w:p>
      <w:pPr>
        <w:spacing w:after="60"/>
        <w:ind w:firstLine="567"/>
        <w:jc w:val="both"/>
      </w:pPr>
      <w:r>
        <w:rPr>
          <w:rFonts w:ascii="Arial" w:cs="Arial" w:eastAsia="Arial" w:hAnsi="Arial"/>
          <w:sz w:val="24"/>
          <w:szCs w:val="24"/>
        </w:rPr>
        <w:t xml:space="preserve">- отсутствие информации о ходе реализации проекта и исполнении бизнес-плана в соответствии со сроками представления, оговоренными в договоре между банком и клиентом;</w:t>
      </w:r>
    </w:p>
    <w:p>
      <w:pPr>
        <w:spacing w:after="60"/>
        <w:ind w:firstLine="567"/>
        <w:jc w:val="both"/>
      </w:pPr>
      <w:r>
        <w:rPr>
          <w:rFonts w:ascii="Arial" w:cs="Arial" w:eastAsia="Arial" w:hAnsi="Arial"/>
          <w:sz w:val="24"/>
          <w:szCs w:val="24"/>
        </w:rPr>
        <w:t xml:space="preserve">- невозможность осуществления надлежащего мониторинга реализации проекта, в том числе с выездом на объекты финансирования;</w:t>
      </w:r>
    </w:p>
    <w:p>
      <w:pPr>
        <w:spacing w:after="60"/>
        <w:ind w:firstLine="567"/>
        <w:jc w:val="both"/>
      </w:pPr>
      <w:r>
        <w:rPr>
          <w:rFonts w:ascii="Arial" w:cs="Arial" w:eastAsia="Arial" w:hAnsi="Arial"/>
          <w:sz w:val="24"/>
          <w:szCs w:val="24"/>
        </w:rPr>
        <w:t xml:space="preserve">- финансовое состояние клиента серьезно ухудшилось (либо клиент находится на грани банкротства);</w:t>
      </w:r>
    </w:p>
    <w:p>
      <w:pPr>
        <w:spacing w:after="60"/>
        <w:ind w:firstLine="567"/>
        <w:jc w:val="both"/>
      </w:pPr>
      <w:r>
        <w:rPr>
          <w:rFonts w:ascii="Arial" w:cs="Arial" w:eastAsia="Arial" w:hAnsi="Arial"/>
          <w:sz w:val="24"/>
          <w:szCs w:val="24"/>
        </w:rPr>
        <w:t xml:space="preserve">- значительное ухудшение (или фактическое отсутствие) залогового и/или гарантийного обеспечения и, не предоставление клиентом или невозможность предоставления дополнительного залогового или гарантийного обеспечения;</w:t>
      </w:r>
    </w:p>
    <w:p>
      <w:pPr>
        <w:spacing w:after="60"/>
        <w:ind w:firstLine="567"/>
        <w:jc w:val="both"/>
      </w:pPr>
      <w:r>
        <w:rPr>
          <w:rFonts w:ascii="Arial" w:cs="Arial" w:eastAsia="Arial" w:hAnsi="Arial"/>
          <w:sz w:val="24"/>
          <w:szCs w:val="24"/>
        </w:rPr>
        <w:t xml:space="preserve">- зависимость выплаты задолженности в основном от реализации залога. При этом залог должен быть реализуемым в форме движимого и недвижимого имущества в размере, достаточном для выплаты банку основной суммы долга, наценки в соответствии с договором и возможных издержек, связанных с реализацией залоговых прав. Предполагается, что залог может быть реализован в следующие сроки:</w:t>
      </w:r>
    </w:p>
    <w:p>
      <w:pPr>
        <w:spacing w:after="60"/>
        <w:ind w:firstLine="567"/>
        <w:jc w:val="both"/>
      </w:pPr>
      <w:r>
        <w:rPr>
          <w:rFonts w:ascii="Arial" w:cs="Arial" w:eastAsia="Arial" w:hAnsi="Arial"/>
          <w:sz w:val="24"/>
          <w:szCs w:val="24"/>
        </w:rPr>
        <w:t xml:space="preserve">а) недвижимое имущество - не позднее 365 дней;</w:t>
      </w:r>
    </w:p>
    <w:p>
      <w:pPr>
        <w:spacing w:after="60"/>
        <w:ind w:firstLine="567"/>
        <w:jc w:val="both"/>
      </w:pPr>
      <w:r>
        <w:rPr>
          <w:rFonts w:ascii="Arial" w:cs="Arial" w:eastAsia="Arial" w:hAnsi="Arial"/>
          <w:sz w:val="24"/>
          <w:szCs w:val="24"/>
        </w:rPr>
        <w:t xml:space="preserve">б) движимое имущество - не позднее 120 дней.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25-1. Актив должен классифицироваться как "сомнительный" при просроченной задолженности 180 дней. При этом качественные признаки такого актива не могут улучшать категорию классификации актива, за исключением активов, имеющих залоговое обеспечение согласно пункту 21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Активы, классифицированные как потери, считаются невозвратными и по ним создается РППУ в размере 100%. После исчерпания всех юридических возможностей возврата таких активов, они учитываются на внесистемных счетах не менее пяти лет.</w:t>
      </w:r>
    </w:p>
    <w:p>
      <w:pPr>
        <w:spacing w:after="60"/>
        <w:ind w:firstLine="567"/>
        <w:jc w:val="both"/>
      </w:pPr>
      <w:r>
        <w:rPr>
          <w:rFonts w:ascii="Arial" w:cs="Arial" w:eastAsia="Arial" w:hAnsi="Arial"/>
          <w:sz w:val="24"/>
          <w:szCs w:val="24"/>
        </w:rPr>
        <w:t xml:space="preserve">Признаками, согласно которым актив относится к потерям, являются:</w:t>
      </w:r>
    </w:p>
    <w:p>
      <w:pPr>
        <w:spacing w:after="60"/>
        <w:ind w:firstLine="567"/>
        <w:jc w:val="both"/>
      </w:pPr>
      <w:r>
        <w:rPr>
          <w:rFonts w:ascii="Arial" w:cs="Arial" w:eastAsia="Arial" w:hAnsi="Arial"/>
          <w:sz w:val="24"/>
          <w:szCs w:val="24"/>
        </w:rPr>
        <w:t xml:space="preserve">- нарушение графика выполнения условий договора клиентом на срок 180 дней и более;</w:t>
      </w:r>
    </w:p>
    <w:p>
      <w:pPr>
        <w:spacing w:after="60"/>
        <w:ind w:firstLine="567"/>
        <w:jc w:val="both"/>
      </w:pPr>
      <w:r>
        <w:rPr>
          <w:rFonts w:ascii="Arial" w:cs="Arial" w:eastAsia="Arial" w:hAnsi="Arial"/>
          <w:sz w:val="24"/>
          <w:szCs w:val="24"/>
        </w:rPr>
        <w:t xml:space="preserve">- нарушение графика плановых платежей на срок 180 дней и более;</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180 дней и более;</w:t>
      </w:r>
    </w:p>
    <w:p>
      <w:pPr>
        <w:spacing w:after="60"/>
        <w:ind w:firstLine="567"/>
        <w:jc w:val="both"/>
      </w:pPr>
      <w:r>
        <w:rPr>
          <w:rFonts w:ascii="Arial" w:cs="Arial" w:eastAsia="Arial" w:hAnsi="Arial"/>
          <w:sz w:val="24"/>
          <w:szCs w:val="24"/>
        </w:rPr>
        <w:t xml:space="preserve">- нарушение графика реализации проекта, финансовых потоков на срок 180 дней и более;</w:t>
      </w:r>
    </w:p>
    <w:p>
      <w:pPr>
        <w:spacing w:after="60"/>
        <w:ind w:firstLine="567"/>
        <w:jc w:val="both"/>
      </w:pPr>
      <w:r>
        <w:rPr>
          <w:rFonts w:ascii="Arial" w:cs="Arial" w:eastAsia="Arial" w:hAnsi="Arial"/>
          <w:sz w:val="24"/>
          <w:szCs w:val="24"/>
        </w:rPr>
        <w:t xml:space="preserve">- нарушение сроков исполнения контрактов третьими сторонами на срок 180 дней и более;</w:t>
      </w:r>
    </w:p>
    <w:p>
      <w:pPr>
        <w:spacing w:after="60"/>
        <w:ind w:firstLine="567"/>
        <w:jc w:val="both"/>
      </w:pPr>
      <w:r>
        <w:rPr>
          <w:rFonts w:ascii="Arial" w:cs="Arial" w:eastAsia="Arial" w:hAnsi="Arial"/>
          <w:sz w:val="24"/>
          <w:szCs w:val="24"/>
        </w:rPr>
        <w:t xml:space="preserve">- проект, в котором участвует банк, не реализован в соответствии с договором;</w:t>
      </w:r>
    </w:p>
    <w:p>
      <w:pPr>
        <w:spacing w:after="60"/>
        <w:ind w:firstLine="567"/>
        <w:jc w:val="both"/>
      </w:pPr>
      <w:r>
        <w:rPr>
          <w:rFonts w:ascii="Arial" w:cs="Arial" w:eastAsia="Arial" w:hAnsi="Arial"/>
          <w:sz w:val="24"/>
          <w:szCs w:val="24"/>
        </w:rPr>
        <w:t xml:space="preserve">- возможность выплаты задолженности зависит в основном от реализации залога;</w:t>
      </w:r>
    </w:p>
    <w:p>
      <w:pPr>
        <w:spacing w:after="60"/>
        <w:ind w:firstLine="567"/>
        <w:jc w:val="both"/>
      </w:pPr>
      <w:r>
        <w:rPr>
          <w:rFonts w:ascii="Arial" w:cs="Arial" w:eastAsia="Arial" w:hAnsi="Arial"/>
          <w:sz w:val="24"/>
          <w:szCs w:val="24"/>
        </w:rPr>
        <w:t xml:space="preserve">- отсутствие залогового обеспечения или невозможность реализации залога из-за отсутствия рынка сбыта;</w:t>
      </w:r>
    </w:p>
    <w:p>
      <w:pPr>
        <w:spacing w:after="60"/>
        <w:ind w:firstLine="567"/>
        <w:jc w:val="both"/>
      </w:pPr>
      <w:r>
        <w:rPr>
          <w:rFonts w:ascii="Arial" w:cs="Arial" w:eastAsia="Arial" w:hAnsi="Arial"/>
          <w:sz w:val="24"/>
          <w:szCs w:val="24"/>
        </w:rPr>
        <w:t xml:space="preserve">- неспособность, отказ клиента выполнить условия договора с банком;</w:t>
      </w:r>
    </w:p>
    <w:p>
      <w:pPr>
        <w:spacing w:after="60"/>
        <w:ind w:firstLine="567"/>
        <w:jc w:val="both"/>
      </w:pPr>
      <w:r>
        <w:rPr>
          <w:rFonts w:ascii="Arial" w:cs="Arial" w:eastAsia="Arial" w:hAnsi="Arial"/>
          <w:sz w:val="24"/>
          <w:szCs w:val="24"/>
        </w:rPr>
        <w:t xml:space="preserve">- нежелание клиента сотрудничать с банком, либо отсутствие клиента;</w:t>
      </w:r>
    </w:p>
    <w:p>
      <w:pPr>
        <w:spacing w:after="60"/>
        <w:ind w:firstLine="567"/>
        <w:jc w:val="both"/>
      </w:pPr>
      <w:r>
        <w:rPr>
          <w:rFonts w:ascii="Arial" w:cs="Arial" w:eastAsia="Arial" w:hAnsi="Arial"/>
          <w:sz w:val="24"/>
          <w:szCs w:val="24"/>
        </w:rPr>
        <w:t xml:space="preserve">- прекращение работы бизнеса клиента либо объявление его банкротом;</w:t>
      </w:r>
    </w:p>
    <w:p>
      <w:pPr>
        <w:spacing w:after="60"/>
        <w:ind w:firstLine="567"/>
        <w:jc w:val="both"/>
      </w:pPr>
      <w:r>
        <w:rPr>
          <w:rFonts w:ascii="Arial" w:cs="Arial" w:eastAsia="Arial" w:hAnsi="Arial"/>
          <w:sz w:val="24"/>
          <w:szCs w:val="24"/>
        </w:rPr>
        <w:t xml:space="preserve">- активы, размещенные банком по договору с субъектом оффшорных зон, не отвечающим требованиям Национального банка</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Примечание: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от 16 апреля 2003 года № 13/2 "Об установлении требований по определению субъектов и перечня оффшорных зон".</w:t>
      </w:r>
    </w:p>
    <w:p>
      <w:pPr>
        <w:spacing w:after="60"/>
        <w:ind w:firstLine="567"/>
        <w:jc w:val="both"/>
      </w:pPr>
      <w:r>
        <w:rPr>
          <w:rFonts w:ascii="Arial" w:cs="Arial" w:eastAsia="Arial" w:hAnsi="Arial"/>
          <w:i/>
          <w:iCs/>
          <w:sz w:val="24"/>
          <w:szCs w:val="24"/>
        </w:rPr>
        <w:t xml:space="preserve">(Абзац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22 февраля 2017 года № 6/4)</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14 октября 2015 года № 62/3</w:t>
      </w:r>
      <w:r>
        <w:rPr>
          <w:rFonts w:ascii="Arial" w:cs="Arial" w:eastAsia="Arial" w:hAnsi="Arial"/>
          <w:i/>
          <w:iCs/>
          <w:sz w:val="24"/>
          <w:szCs w:val="24"/>
        </w:rPr>
        <w:t xml:space="preserve">,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26-1. Актив должен классифицироваться как "потери" при просроченной задолженности 360 дней, при этом качественные признаки такого актива при его классификации не применяются, за исключением активов, имеющих залоговое обеспечение согласно пункту 21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26-2. Перевод классифицированных активов в категорию неклассифицированных активов осуществляется только при выполнении следующих условий:</w:t>
      </w:r>
    </w:p>
    <w:p>
      <w:pPr>
        <w:spacing w:after="60"/>
        <w:ind w:firstLine="567"/>
        <w:jc w:val="both"/>
      </w:pPr>
      <w:r>
        <w:rPr>
          <w:rFonts w:ascii="Arial" w:cs="Arial" w:eastAsia="Arial" w:hAnsi="Arial"/>
          <w:sz w:val="24"/>
          <w:szCs w:val="24"/>
        </w:rPr>
        <w:t xml:space="preserve">- отсутствие просроченных сумм;</w:t>
      </w:r>
    </w:p>
    <w:p>
      <w:pPr>
        <w:spacing w:after="60"/>
        <w:ind w:firstLine="567"/>
        <w:jc w:val="both"/>
      </w:pPr>
      <w:r>
        <w:rPr>
          <w:rFonts w:ascii="Arial" w:cs="Arial" w:eastAsia="Arial" w:hAnsi="Arial"/>
          <w:sz w:val="24"/>
          <w:szCs w:val="24"/>
        </w:rPr>
        <w:t xml:space="preserve">- оплата клиентом своевременно и в полном объеме последних трех взносов согласно графику.</w:t>
      </w:r>
    </w:p>
    <w:p>
      <w:pPr>
        <w:spacing w:after="60"/>
        <w:ind w:firstLine="567"/>
        <w:jc w:val="both"/>
      </w:pPr>
      <w:r>
        <w:rPr>
          <w:rFonts w:ascii="Arial" w:cs="Arial" w:eastAsia="Arial" w:hAnsi="Arial"/>
          <w:sz w:val="24"/>
          <w:szCs w:val="24"/>
        </w:rPr>
        <w:t xml:space="preserve">При погашении всей просроченной задолженности активы, классифицированные как "сомнительные" или "потери", переводятся в категорию "субстандартные".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Отдельные случаи классификации</w:t>
      </w:r>
    </w:p>
    <w:p>
      <w:pPr>
        <w:spacing w:after="200"/>
        <w:jc w:val="center"/>
      </w:pPr>
      <w:r>
        <w:rPr>
          <w:rFonts w:ascii="Arial" w:cs="Arial" w:eastAsia="Arial" w:hAnsi="Arial"/>
          <w:i/>
          <w:iCs/>
          <w:sz w:val="24"/>
          <w:szCs w:val="24"/>
        </w:rPr>
        <w:t xml:space="preserve">(Наименование главы в редакции постановления Правления Нацбанка КР от </w:t>
      </w:r>
      <w:r>
        <w:rPr>
          <w:rFonts w:ascii="Arial" w:cs="Arial" w:eastAsia="Arial" w:hAnsi="Arial"/>
          <w:i/>
          <w:iCs/>
          <w:sz w:val="24"/>
          <w:szCs w:val="24"/>
        </w:rPr>
        <w:t xml:space="preserve">23 октября 2013 года N 39/8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 В некоторых случаях активы могут быть классифицированы по двум категориям классификации, т.е. может использоваться разделение классификации.</w:t>
      </w:r>
    </w:p>
    <w:p>
      <w:pPr>
        <w:spacing w:after="60"/>
        <w:ind w:firstLine="567"/>
        <w:jc w:val="both"/>
      </w:pPr>
      <w:r>
        <w:rPr>
          <w:rFonts w:ascii="Arial" w:cs="Arial" w:eastAsia="Arial" w:hAnsi="Arial"/>
          <w:sz w:val="24"/>
          <w:szCs w:val="24"/>
        </w:rPr>
        <w:t xml:space="preserve">Например, в качестве обеспечения актива, выступают денежные средства, привлеченные по исламским принципам банковского дела и финансирования в этом же банке (на депозитном счете), которые покрывают только часть актива, другие источники погашения актива отсутствуют. В этом случае обеспеченная денежными средствами, привлеченными по исламским принципам банковского дела и финансирования часть актива классифицируется как "нормальный актив", необеспеченная часть актива как "потери".</w:t>
      </w:r>
    </w:p>
    <w:p>
      <w:pPr>
        <w:spacing w:after="60"/>
        <w:ind w:firstLine="567"/>
        <w:jc w:val="both"/>
      </w:pPr>
      <w:r>
        <w:rPr>
          <w:rFonts w:ascii="Arial" w:cs="Arial" w:eastAsia="Arial" w:hAnsi="Arial"/>
          <w:sz w:val="24"/>
          <w:szCs w:val="24"/>
        </w:rPr>
        <w:t xml:space="preserve">27-1. В случае, если клиент - физическое лицо, в том числе, являющийся индивидуальным предпринимателем без образования юридического лица, имеет в банке несколько активов, несущих в себе кредитный риск, то ко всем его активам применяется классификация, которая присвоена по его активу с наибольшей задолженностью, если эта классификация является наихудшей.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октября 2013 года N 39/8</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6. Классификация межбанковских размещений</w:t>
      </w:r>
    </w:p>
    <w:p>
      <w:pPr>
        <w:spacing w:after="60"/>
        <w:ind w:firstLine="567"/>
        <w:jc w:val="both"/>
      </w:pPr>
      <w:r>
        <w:rPr>
          <w:rFonts w:ascii="Arial" w:cs="Arial" w:eastAsia="Arial" w:hAnsi="Arial"/>
          <w:sz w:val="24"/>
          <w:szCs w:val="24"/>
        </w:rPr>
        <w:t xml:space="preserve">28. Необеспеченные межбанковские размещения, соответствующие исламским принципам банковского дела и финансирования со сроком погашения не более 30 дней классифицируются с учетом следующего:</w:t>
      </w:r>
    </w:p>
    <w:p>
      <w:pPr>
        <w:spacing w:after="60"/>
        <w:ind w:firstLine="567"/>
        <w:jc w:val="both"/>
      </w:pPr>
      <w:r>
        <w:rPr>
          <w:rFonts w:ascii="Arial" w:cs="Arial" w:eastAsia="Arial" w:hAnsi="Arial"/>
          <w:sz w:val="24"/>
          <w:szCs w:val="24"/>
        </w:rPr>
        <w:t xml:space="preserve">- межбанковские размещения, просроченные на срок от 2 до 10 дней, классифицируются как субстандартные;</w:t>
      </w:r>
    </w:p>
    <w:p>
      <w:pPr>
        <w:spacing w:after="60"/>
        <w:ind w:firstLine="567"/>
        <w:jc w:val="both"/>
      </w:pPr>
      <w:r>
        <w:rPr>
          <w:rFonts w:ascii="Arial" w:cs="Arial" w:eastAsia="Arial" w:hAnsi="Arial"/>
          <w:sz w:val="24"/>
          <w:szCs w:val="24"/>
        </w:rPr>
        <w:t xml:space="preserve">- межбанковские размещения, просроченные на срок от 10 до 30 дней, классифицируются как сомнительные;</w:t>
      </w:r>
    </w:p>
    <w:p>
      <w:pPr>
        <w:spacing w:after="60"/>
        <w:ind w:firstLine="567"/>
        <w:jc w:val="both"/>
      </w:pPr>
      <w:r>
        <w:rPr>
          <w:rFonts w:ascii="Arial" w:cs="Arial" w:eastAsia="Arial" w:hAnsi="Arial"/>
          <w:sz w:val="24"/>
          <w:szCs w:val="24"/>
        </w:rPr>
        <w:t xml:space="preserve">- межбанковские размещения, просроченные более 30 дней, классифицируются как потери.</w:t>
      </w:r>
    </w:p>
    <w:p>
      <w:pPr>
        <w:spacing w:after="60"/>
        <w:ind w:firstLine="567"/>
        <w:jc w:val="both"/>
      </w:pPr>
      <w:r>
        <w:rPr>
          <w:rFonts w:ascii="Arial" w:cs="Arial" w:eastAsia="Arial" w:hAnsi="Arial"/>
          <w:sz w:val="24"/>
          <w:szCs w:val="24"/>
        </w:rPr>
        <w:t xml:space="preserve">29. Для целей п.28 настоящего Положения классификации подлежит вся сумма денежных средств на корреспондентском счете, а началом исчисления просроченности по корреспондентским счетам является дата требования перевода денежных средств.</w:t>
      </w:r>
    </w:p>
    <w:p>
      <w:pPr>
        <w:spacing w:after="60"/>
        <w:ind w:firstLine="567"/>
        <w:jc w:val="both"/>
      </w:pPr>
      <w:r>
        <w:rPr>
          <w:rFonts w:ascii="Arial" w:cs="Arial" w:eastAsia="Arial" w:hAnsi="Arial"/>
          <w:sz w:val="24"/>
          <w:szCs w:val="24"/>
        </w:rPr>
        <w:t xml:space="preserve">30. Межбанковские размещения, обеспеченные залогом, и/или со сроком погашения более 30 дней, классифицируются в соответствии с пунктом 4 и 5 настоящего Положения.</w:t>
      </w:r>
    </w:p>
    <w:p>
      <w:pPr>
        <w:spacing w:after="200" w:before="200"/>
        <w:jc w:val="center"/>
      </w:pPr>
      <w:r>
        <w:rPr>
          <w:rFonts w:ascii="Arial" w:cs="Arial" w:eastAsia="Arial" w:hAnsi="Arial"/>
          <w:b/>
          <w:bCs/>
          <w:sz w:val="24"/>
          <w:szCs w:val="24"/>
        </w:rPr>
        <w:t xml:space="preserve">7. Классификация прочей собственности банка</w:t>
      </w:r>
    </w:p>
    <w:p>
      <w:pPr>
        <w:spacing w:after="60"/>
        <w:ind w:firstLine="567"/>
        <w:jc w:val="both"/>
      </w:pPr>
      <w:r>
        <w:rPr>
          <w:rFonts w:ascii="Arial" w:cs="Arial" w:eastAsia="Arial" w:hAnsi="Arial"/>
          <w:sz w:val="24"/>
          <w:szCs w:val="24"/>
        </w:rPr>
        <w:t xml:space="preserve">31. После первоначального признания в балансе, прочая собственность банка, принятая в погашение актива и/или в качестве компенсации потерь банка, сразу классифицируется как субстандартная.</w:t>
      </w:r>
    </w:p>
    <w:p>
      <w:pPr>
        <w:spacing w:after="60"/>
        <w:ind w:firstLine="567"/>
        <w:jc w:val="both"/>
      </w:pPr>
      <w:r>
        <w:rPr>
          <w:rFonts w:ascii="Arial" w:cs="Arial" w:eastAsia="Arial" w:hAnsi="Arial"/>
          <w:sz w:val="24"/>
          <w:szCs w:val="24"/>
        </w:rPr>
        <w:t xml:space="preserve">32. Прочая собственность банка, принятая в погашение актива и/или в качестве компенсации потерь банка, классифицируется как потери, если она не продана по истечении следующих сроков:</w:t>
      </w:r>
    </w:p>
    <w:p>
      <w:pPr>
        <w:spacing w:after="60"/>
        <w:ind w:firstLine="567"/>
        <w:jc w:val="both"/>
      </w:pPr>
      <w:r>
        <w:rPr>
          <w:rFonts w:ascii="Arial" w:cs="Arial" w:eastAsia="Arial" w:hAnsi="Arial"/>
          <w:sz w:val="24"/>
          <w:szCs w:val="24"/>
        </w:rPr>
        <w:t xml:space="preserve">а) одного года - для движимого имущества;</w:t>
      </w:r>
    </w:p>
    <w:p>
      <w:pPr>
        <w:spacing w:after="60"/>
        <w:ind w:firstLine="567"/>
        <w:jc w:val="both"/>
      </w:pPr>
      <w:r>
        <w:rPr>
          <w:rFonts w:ascii="Arial" w:cs="Arial" w:eastAsia="Arial" w:hAnsi="Arial"/>
          <w:sz w:val="24"/>
          <w:szCs w:val="24"/>
        </w:rPr>
        <w:t xml:space="preserve">б) трех лет с момента возникновения права собственности - для недвижимого имущества, за исключением земель сельскохозяйственного назначения, сроки по которым устанавливаются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 ноября 2015 года № 65/1</w:t>
      </w:r>
      <w:r>
        <w:rPr>
          <w:rFonts w:ascii="Arial" w:cs="Arial" w:eastAsia="Arial" w:hAnsi="Arial"/>
          <w:i/>
          <w:iCs/>
          <w:sz w:val="24"/>
          <w:szCs w:val="24"/>
        </w:rPr>
        <w:t xml:space="preserve">,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8. Классификация реструктуризированных активов</w:t>
      </w:r>
    </w:p>
    <w:p>
      <w:pPr>
        <w:spacing w:after="200"/>
        <w:jc w:val="center"/>
      </w:pPr>
      <w:r>
        <w:rPr>
          <w:rFonts w:ascii="Arial" w:cs="Arial" w:eastAsia="Arial" w:hAnsi="Arial"/>
          <w:i/>
          <w:iCs/>
          <w:sz w:val="24"/>
          <w:szCs w:val="24"/>
        </w:rPr>
        <w:t xml:space="preserve">(Раздел 
 в редакции </w:t>
      </w:r>
      <w:r>
        <w:rPr>
          <w:rFonts w:ascii="Arial" w:cs="Arial" w:eastAsia="Arial" w:hAnsi="Arial"/>
          <w:i/>
          <w:iCs/>
          <w:sz w:val="24"/>
          <w:szCs w:val="24"/>
        </w:rPr>
        <w:t xml:space="preserve">постановления</w:t>
      </w:r>
      <w:r>
        <w:rPr>
          <w:rFonts w:ascii="Arial" w:cs="Arial" w:eastAsia="Arial" w:hAnsi="Arial"/>
          <w:i/>
          <w:iCs/>
          <w:sz w:val="24"/>
          <w:szCs w:val="24"/>
        </w:rPr>
        <w:t xml:space="preserve"> Правления Нацбанка КР от 22 февраля 2017 года № 6/4)</w:t>
      </w:r>
    </w:p>
    <w:p>
      <w:pPr>
        <w:spacing w:after="60"/>
        <w:ind w:firstLine="567"/>
        <w:jc w:val="both"/>
      </w:pPr>
      <w:r>
        <w:rPr>
          <w:rFonts w:ascii="Arial" w:cs="Arial" w:eastAsia="Arial" w:hAnsi="Arial"/>
          <w:sz w:val="24"/>
          <w:szCs w:val="24"/>
        </w:rPr>
        <w:t xml:space="preserve">33. Реструктуризированные активы - это активы, по которым банк предоставляет клиенту преференции (послабления) в индивидуальном порядке, путем изменения условий договора (с обязательным заключением нового договора или дополнительного соглашения к договору финансирования), отличающихся от обычной практики финансирования банка. При этом изменение наценки и/или срока финансирования до погашения суммы основного долга/наценки приводят к изменению ожидаемых будущих денежных потоков.</w:t>
      </w:r>
    </w:p>
    <w:p>
      <w:pPr>
        <w:spacing w:after="60"/>
        <w:ind w:firstLine="567"/>
        <w:jc w:val="both"/>
      </w:pPr>
      <w:r>
        <w:rPr>
          <w:rFonts w:ascii="Arial" w:cs="Arial" w:eastAsia="Arial" w:hAnsi="Arial"/>
          <w:sz w:val="24"/>
          <w:szCs w:val="24"/>
        </w:rPr>
        <w:t xml:space="preserve">Реструктуризация представляет собой:</w:t>
      </w:r>
    </w:p>
    <w:p>
      <w:pPr>
        <w:spacing w:after="60"/>
        <w:ind w:firstLine="567"/>
        <w:jc w:val="both"/>
      </w:pPr>
      <w:r>
        <w:rPr>
          <w:rFonts w:ascii="Arial" w:cs="Arial" w:eastAsia="Arial" w:hAnsi="Arial"/>
          <w:sz w:val="24"/>
          <w:szCs w:val="24"/>
        </w:rPr>
        <w:t xml:space="preserve">- изменение условий действующего договора финансирования в связи с ухудшением финансового состояния клиента путем предоставления более благоприятных условий клиенту по погашению финансирования, отличающихся от практики банка;</w:t>
      </w:r>
    </w:p>
    <w:p>
      <w:pPr>
        <w:spacing w:after="60"/>
        <w:ind w:firstLine="567"/>
        <w:jc w:val="both"/>
      </w:pPr>
      <w:r>
        <w:rPr>
          <w:rFonts w:ascii="Arial" w:cs="Arial" w:eastAsia="Arial" w:hAnsi="Arial"/>
          <w:sz w:val="24"/>
          <w:szCs w:val="24"/>
        </w:rPr>
        <w:t xml:space="preserve">- изменение условий договора путем частичного списания основной суммы финансирования.</w:t>
      </w:r>
    </w:p>
    <w:p>
      <w:pPr>
        <w:spacing w:after="60"/>
        <w:ind w:firstLine="567"/>
        <w:jc w:val="both"/>
      </w:pPr>
      <w:r>
        <w:rPr>
          <w:rFonts w:ascii="Arial" w:cs="Arial" w:eastAsia="Arial" w:hAnsi="Arial"/>
          <w:sz w:val="24"/>
          <w:szCs w:val="24"/>
        </w:rPr>
        <w:t xml:space="preserve">Изменение первоначальных условий договора по финансированию и его рефинансирование, не связанные с ухудшением финансового состояния клиента, не являются реструктуризацией актива (например, перевод валюты кредита из иностранной в национальную и другие).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 В случае если неклассифицированный актив, по которому была произведена реструктуризация и по которому полностью или частично имелись просроченные платежи более чем на 30 дней, по меньшей мере 1 раз в течение последних 3 месяцев, то данное обстоятельство может являться показателем возникновения финансовых затруднений у клиента по реструктуризированному активу.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34-1. Реструктуризация может применяться в отношении как классифицированных, так и неклассифицированных активов.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34-2. Классифицированный реструктуризированный актив не может относиться к неклассифированным активам до выполнения условий пункта 34-4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34-3. Внесение изменений в договор финансирования, когда клиент испытывает финансовые трудности, путем частичного погашения задолженности по финансированию за счет реализации заложенного имущества по данному финансированию должно рассматриваться в качестве реструктуризации финансирования.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34-4. Банк может перевести классифицированный "субстандартный" актив в категорию неклассифицированных активов, когда будут выполнены все следующие условия:</w:t>
      </w:r>
    </w:p>
    <w:p>
      <w:pPr>
        <w:spacing w:after="60"/>
        <w:ind w:firstLine="567"/>
        <w:jc w:val="both"/>
      </w:pPr>
      <w:r>
        <w:rPr>
          <w:rFonts w:ascii="Arial" w:cs="Arial" w:eastAsia="Arial" w:hAnsi="Arial"/>
          <w:sz w:val="24"/>
          <w:szCs w:val="24"/>
        </w:rPr>
        <w:t xml:space="preserve">- отсутствие просроченных сумм;</w:t>
      </w:r>
    </w:p>
    <w:p>
      <w:pPr>
        <w:spacing w:after="60"/>
        <w:ind w:firstLine="567"/>
        <w:jc w:val="both"/>
      </w:pPr>
      <w:r>
        <w:rPr>
          <w:rFonts w:ascii="Arial" w:cs="Arial" w:eastAsia="Arial" w:hAnsi="Arial"/>
          <w:sz w:val="24"/>
          <w:szCs w:val="24"/>
        </w:rPr>
        <w:t xml:space="preserve">- оплата клиентом своевременно и в полном объеме последних трех взносов согласно графику;</w:t>
      </w:r>
    </w:p>
    <w:p>
      <w:pPr>
        <w:spacing w:after="60"/>
        <w:ind w:firstLine="567"/>
        <w:jc w:val="both"/>
      </w:pPr>
      <w:r>
        <w:rPr>
          <w:rFonts w:ascii="Arial" w:cs="Arial" w:eastAsia="Arial" w:hAnsi="Arial"/>
          <w:sz w:val="24"/>
          <w:szCs w:val="24"/>
        </w:rPr>
        <w:t xml:space="preserve">- клиент не имеет обстоятельств, которые могут привести к несоблюдению условий реструктуризации.</w:t>
      </w:r>
    </w:p>
    <w:p>
      <w:pPr>
        <w:spacing w:after="60"/>
        <w:ind w:firstLine="567"/>
        <w:jc w:val="both"/>
      </w:pPr>
      <w:r>
        <w:rPr>
          <w:rFonts w:ascii="Arial" w:cs="Arial" w:eastAsia="Arial" w:hAnsi="Arial"/>
          <w:sz w:val="24"/>
          <w:szCs w:val="24"/>
        </w:rPr>
        <w:t xml:space="preserve">При погашении всей просроченной задолженности активы, классифицированные как "сомнительные" или "потери", переводятся в категорию "субстандартные".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34-5. РППУ по реструктуризированным активам создается на всю балансовую стоимость.</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9. Классификация инвестиций в ценные бумаги и/или в капитал компании</w:t>
      </w:r>
    </w:p>
    <w:p>
      <w:pPr>
        <w:spacing w:after="60"/>
        <w:ind w:firstLine="567"/>
        <w:jc w:val="both"/>
      </w:pPr>
      <w:r>
        <w:rPr>
          <w:rFonts w:ascii="Arial" w:cs="Arial" w:eastAsia="Arial" w:hAnsi="Arial"/>
          <w:sz w:val="24"/>
          <w:szCs w:val="24"/>
        </w:rPr>
        <w:t xml:space="preserve">35. Инвестиции в ценные бумаги и/или капитал компаний, отражаемые на балансе, должны оцениваться на предмет их качества в соответствии с требованиями настоящего Положения и на основе представленной документации.</w:t>
      </w:r>
    </w:p>
    <w:p>
      <w:pPr>
        <w:spacing w:after="60"/>
        <w:ind w:firstLine="567"/>
        <w:jc w:val="both"/>
      </w:pPr>
      <w:r>
        <w:rPr>
          <w:rFonts w:ascii="Arial" w:cs="Arial" w:eastAsia="Arial" w:hAnsi="Arial"/>
          <w:sz w:val="24"/>
          <w:szCs w:val="24"/>
        </w:rPr>
        <w:t xml:space="preserve">36. Банк должен иметь финансовую отчетность (квартальную - за последний завершенный отчетный квартал и годовую - за три последних завершенных финансовых года, подтвержденную и заверенную независимым аудитором) и другую информацию об инвестируемой компании и/или эмитенте ценных бумаг. Наличие вышеуказанной отчетности не является доказательством того, что банк изучил эмитента ценной бумаги. Банк должен на основе представленных отчетов проводить соответствующий анализ.</w:t>
      </w:r>
    </w:p>
    <w:p>
      <w:pPr>
        <w:spacing w:after="60"/>
        <w:ind w:firstLine="567"/>
        <w:jc w:val="both"/>
      </w:pPr>
      <w:r>
        <w:rPr>
          <w:rFonts w:ascii="Arial" w:cs="Arial" w:eastAsia="Arial" w:hAnsi="Arial"/>
          <w:sz w:val="24"/>
          <w:szCs w:val="24"/>
        </w:rPr>
        <w:t xml:space="preserve">37. Инвестиции в ценные бумаги и/или в капитал компании классифицируются, как минимум, как сомнительные в случае отсутствия информации об инвестируемой компании, включая финансовую отчетность, анализ будущих потоков денежных средств, положение на рынке, бизнес-план компании и другую информацию, которая позволит оценивать качество этих инвестиций.</w:t>
      </w:r>
    </w:p>
    <w:p>
      <w:pPr>
        <w:spacing w:after="60"/>
        <w:ind w:firstLine="567"/>
        <w:jc w:val="both"/>
      </w:pPr>
      <w:r>
        <w:rPr>
          <w:rFonts w:ascii="Arial" w:cs="Arial" w:eastAsia="Arial" w:hAnsi="Arial"/>
          <w:sz w:val="24"/>
          <w:szCs w:val="24"/>
        </w:rPr>
        <w:t xml:space="preserve">37-1. Банк может классифицировать инвестиции в исламские ценные бумаги оригинаторов-резидентов Кыргызской Республики как "активы, под наблюдением" в случае выполнения требований к исламским ценным бумагам, изложенных в части "б" подпункта 2 пункта 30-1 </w:t>
      </w:r>
      <w:r>
        <w:rPr>
          <w:rFonts w:ascii="Arial" w:cs="Arial" w:eastAsia="Arial" w:hAnsi="Arial"/>
          <w:sz w:val="24"/>
          <w:szCs w:val="24"/>
        </w:rPr>
        <w:t xml:space="preserve">Положения</w:t>
      </w:r>
      <w:r>
        <w:rPr>
          <w:rFonts w:ascii="Arial" w:cs="Arial" w:eastAsia="Arial" w:hAnsi="Arial"/>
          <w:sz w:val="24"/>
          <w:szCs w:val="24"/>
        </w:rPr>
        <w:t xml:space="preserve"> "О работе банков с ценными бумагами",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Кыргызской Республики от 14 сентября 2011 года № 52/4.</w:t>
      </w:r>
    </w:p>
    <w:p>
      <w:pPr>
        <w:spacing w:after="60"/>
        <w:ind w:firstLine="567"/>
        <w:jc w:val="both"/>
      </w:pPr>
      <w:r>
        <w:rPr>
          <w:rFonts w:ascii="Arial" w:cs="Arial" w:eastAsia="Arial" w:hAnsi="Arial"/>
          <w:sz w:val="24"/>
          <w:szCs w:val="24"/>
        </w:rPr>
        <w:t xml:space="preserve">В случае делистинга ценной бумаги, появления тенденций к ухудшению финансового состояния эмитента или оригинатора, проблем с должностными лицами эмитента или оригинатора или изменения рыночных условий, которые могут повлиять на исполнение эмитентом или оригинатором своих обязательств, банк должен классифицировать данный актив как "сомнительный".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В случае ухудшения финансового состояния инвестируемой компании и/или эмитента ценных бумаг (либо если инвестируемая компания и/или эмитент ценных бумаг находится на грани банкротства), такие инвестиции классифицируются как сомнительные.</w:t>
      </w:r>
    </w:p>
    <w:p>
      <w:pPr>
        <w:spacing w:after="60"/>
        <w:ind w:firstLine="567"/>
        <w:jc w:val="both"/>
      </w:pPr>
      <w:r>
        <w:rPr>
          <w:rFonts w:ascii="Arial" w:cs="Arial" w:eastAsia="Arial" w:hAnsi="Arial"/>
          <w:sz w:val="24"/>
          <w:szCs w:val="24"/>
        </w:rPr>
        <w:t xml:space="preserve">39. В случае объявления эмитента или оригинатора неплатежеспособным такие инвестиции должны автоматически классифицироваться как "потери".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Ценные бумаги центральных банков и правительств иностранных государств, выпускаемые в соответствии с исламскими принципами банковского дела и финансирования не подвергаются классификации в случае, если банк может представить соответствующую информацию о том, что центральные банки и правительства этих стран платежеспособны, а ценообразование этих ценных бумаг транспарентно. Например, подтверждение рейтинга долгосрочной кредитоспособности, присвоенного рейтинговым агентством Moody's Investors Servise (США), или другую финансовую информацию.</w:t>
      </w:r>
    </w:p>
    <w:p>
      <w:pPr>
        <w:spacing w:after="60"/>
        <w:ind w:firstLine="567"/>
        <w:jc w:val="both"/>
      </w:pPr>
      <w:r>
        <w:rPr>
          <w:rFonts w:ascii="Arial" w:cs="Arial" w:eastAsia="Arial" w:hAnsi="Arial"/>
          <w:sz w:val="24"/>
          <w:szCs w:val="24"/>
        </w:rPr>
        <w:t xml:space="preserve">Примечание: Эквивалентный рейтинг, присвоенный рейтинговым агентством Standart &amp; Poors (США) или равнозначный рейтинг, присвоенный одним из рейтинговых агентств Japan Credit Rating Agency (JCR), Fitch Ratings, Dominion Bond Ratings Service (DBRS).</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15 июня 2017 года № 2017-П-12/25-1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 При наличии разногласий в вопросе отнесения актива к той или иной категории классификации между банком и проверяющими инспекторами банковского надзора, в обязанность банка входит представление соответствующего анализа и доказательства правильности своей классификации.</w:t>
      </w:r>
    </w:p>
    <w:p>
      <w:pPr>
        <w:spacing w:after="200" w:before="200"/>
        <w:jc w:val="center"/>
      </w:pPr>
      <w:r>
        <w:rPr>
          <w:rFonts w:ascii="Arial" w:cs="Arial" w:eastAsia="Arial" w:hAnsi="Arial"/>
          <w:b/>
          <w:bCs/>
          <w:sz w:val="24"/>
          <w:szCs w:val="24"/>
        </w:rPr>
        <w:t xml:space="preserve">10. Классификация забалансовых обязательств</w:t>
      </w:r>
    </w:p>
    <w:p>
      <w:pPr>
        <w:spacing w:after="60"/>
        <w:ind w:firstLine="567"/>
        <w:jc w:val="both"/>
      </w:pPr>
      <w:r>
        <w:rPr>
          <w:rFonts w:ascii="Arial" w:cs="Arial" w:eastAsia="Arial" w:hAnsi="Arial"/>
          <w:sz w:val="24"/>
          <w:szCs w:val="24"/>
        </w:rPr>
        <w:t xml:space="preserve">42. Классификация забалансовых обязательств производится аналогично классификации активов банка согласно требованиям настоящего Положения.</w:t>
      </w:r>
    </w:p>
    <w:p>
      <w:pPr>
        <w:spacing w:after="60"/>
        <w:ind w:firstLine="567"/>
        <w:jc w:val="both"/>
      </w:pPr>
      <w:r>
        <w:rPr>
          <w:rFonts w:ascii="Arial" w:cs="Arial" w:eastAsia="Arial" w:hAnsi="Arial"/>
          <w:sz w:val="24"/>
          <w:szCs w:val="24"/>
        </w:rPr>
        <w:t xml:space="preserve">43. Забалансовые обязательства подвергаются классификации в зависимости от:</w:t>
      </w:r>
    </w:p>
    <w:p>
      <w:pPr>
        <w:spacing w:after="60"/>
        <w:ind w:firstLine="567"/>
        <w:jc w:val="both"/>
      </w:pPr>
      <w:r>
        <w:rPr>
          <w:rFonts w:ascii="Arial" w:cs="Arial" w:eastAsia="Arial" w:hAnsi="Arial"/>
          <w:sz w:val="24"/>
          <w:szCs w:val="24"/>
        </w:rPr>
        <w:t xml:space="preserve">- наступления у банка вероятности выполнения своих обязательств по этим забалансовым обязательствам;</w:t>
      </w:r>
    </w:p>
    <w:p>
      <w:pPr>
        <w:spacing w:after="60"/>
        <w:ind w:firstLine="567"/>
        <w:jc w:val="both"/>
      </w:pPr>
      <w:r>
        <w:rPr>
          <w:rFonts w:ascii="Arial" w:cs="Arial" w:eastAsia="Arial" w:hAnsi="Arial"/>
          <w:sz w:val="24"/>
          <w:szCs w:val="24"/>
        </w:rPr>
        <w:t xml:space="preserve">- вероятности того, что клиент воспользуется этим обязательством;</w:t>
      </w:r>
    </w:p>
    <w:p>
      <w:pPr>
        <w:spacing w:after="60"/>
        <w:ind w:firstLine="567"/>
        <w:jc w:val="both"/>
      </w:pPr>
      <w:r>
        <w:rPr>
          <w:rFonts w:ascii="Arial" w:cs="Arial" w:eastAsia="Arial" w:hAnsi="Arial"/>
          <w:sz w:val="24"/>
          <w:szCs w:val="24"/>
        </w:rPr>
        <w:t xml:space="preserve">- наличия залога;</w:t>
      </w:r>
    </w:p>
    <w:p>
      <w:pPr>
        <w:spacing w:after="60"/>
        <w:ind w:firstLine="567"/>
        <w:jc w:val="both"/>
      </w:pPr>
      <w:r>
        <w:rPr>
          <w:rFonts w:ascii="Arial" w:cs="Arial" w:eastAsia="Arial" w:hAnsi="Arial"/>
          <w:sz w:val="24"/>
          <w:szCs w:val="24"/>
        </w:rPr>
        <w:t xml:space="preserve">- других факторов.</w:t>
      </w:r>
    </w:p>
    <w:p>
      <w:pPr>
        <w:spacing w:after="200" w:before="200"/>
        <w:jc w:val="center"/>
      </w:pPr>
      <w:r>
        <w:rPr>
          <w:rFonts w:ascii="Arial" w:cs="Arial" w:eastAsia="Arial" w:hAnsi="Arial"/>
          <w:b/>
          <w:bCs/>
          <w:sz w:val="24"/>
          <w:szCs w:val="24"/>
        </w:rPr>
        <w:t xml:space="preserve">10-1. Классификация трансграничных активов и активов, которые обеспечены залогом, находящимся за пределами Кыргызской Республики</w:t>
      </w:r>
    </w:p>
    <w:p>
      <w:pPr>
        <w:spacing w:after="200"/>
        <w:jc w:val="center"/>
      </w:pPr>
      <w:r>
        <w:rPr>
          <w:rFonts w:ascii="Arial" w:cs="Arial" w:eastAsia="Arial" w:hAnsi="Arial"/>
          <w:i/>
          <w:iCs/>
          <w:sz w:val="24"/>
          <w:szCs w:val="24"/>
        </w:rPr>
        <w:t xml:space="preserve">(Глава в редакции постановления Правления Нацбанка КР от </w:t>
      </w:r>
      <w:r>
        <w:rPr>
          <w:rFonts w:ascii="Arial" w:cs="Arial" w:eastAsia="Arial" w:hAnsi="Arial"/>
          <w:i/>
          <w:iCs/>
          <w:sz w:val="24"/>
          <w:szCs w:val="24"/>
        </w:rPr>
        <w:t xml:space="preserve">23 октября 2013 года N 39/8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43-1. Трансграничные активы и активы, которые обеспечены залогом, находящимся за пределами Кыргызской Республики, при их выдаче классифицируются как минимум как активы под наблюдением.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октября 2015 года № 62/3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43-2. В случае если залоговое обеспечение по активу, находящееся за пределами Кыргызской Республики, составляет более 50 процентов от общей стоимости залогового обеспечения, то такой актив классифицируется как минимум как "актив под наблюдением".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14 октября 2015 года № 62/3</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11. Создание резерва на покрытие потенциальных потерь и убытков</w:t>
      </w:r>
    </w:p>
    <w:p>
      <w:pPr>
        <w:spacing w:after="60"/>
        <w:ind w:firstLine="567"/>
        <w:jc w:val="both"/>
      </w:pPr>
      <w:r>
        <w:rPr>
          <w:rFonts w:ascii="Arial" w:cs="Arial" w:eastAsia="Arial" w:hAnsi="Arial"/>
          <w:sz w:val="24"/>
          <w:szCs w:val="24"/>
        </w:rPr>
        <w:t xml:space="preserve">44. Резерв на покрытие потенциальных потерь и убытков создается за счет расходов банка и является контр-счетом к соответствующей категории активов. Банк, имеющий "исламское окно", обязан дополнительно к РППУ, созданным согласно </w:t>
      </w:r>
      <w:r>
        <w:rPr>
          <w:rFonts w:ascii="Arial" w:cs="Arial" w:eastAsia="Arial" w:hAnsi="Arial"/>
          <w:sz w:val="24"/>
          <w:szCs w:val="24"/>
        </w:rPr>
        <w:t xml:space="preserve">Положению</w:t>
      </w:r>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w:t>
      </w:r>
      <w:r>
        <w:rPr>
          <w:rFonts w:ascii="Arial" w:cs="Arial" w:eastAsia="Arial" w:hAnsi="Arial"/>
          <w:sz w:val="24"/>
          <w:szCs w:val="24"/>
        </w:rPr>
        <w:t xml:space="preserve">(3)</w:t>
      </w:r>
      <w:r>
        <w:rPr>
          <w:rFonts w:ascii="Arial" w:cs="Arial" w:eastAsia="Arial" w:hAnsi="Arial"/>
          <w:sz w:val="24"/>
          <w:szCs w:val="24"/>
        </w:rPr>
        <w:t xml:space="preserve">, создать РППУ по активам, размещенным согласно исламским принципам банковского дела и финансирования.</w:t>
      </w:r>
    </w:p>
    <w:p>
      <w:pPr>
        <w:spacing w:after="60"/>
        <w:ind w:firstLine="567"/>
        <w:jc w:val="both"/>
      </w:pPr>
      <w:r>
        <w:rPr>
          <w:rFonts w:ascii="Arial" w:cs="Arial" w:eastAsia="Arial" w:hAnsi="Arial"/>
          <w:sz w:val="24"/>
          <w:szCs w:val="24"/>
        </w:rPr>
        <w:t xml:space="preserve">Банк обязан создавать следующие резервы:</w:t>
      </w:r>
    </w:p>
    <w:p>
      <w:pPr>
        <w:spacing w:after="60"/>
        <w:ind w:firstLine="567"/>
        <w:jc w:val="both"/>
      </w:pPr>
      <w:r>
        <w:rPr>
          <w:rFonts w:ascii="Arial" w:cs="Arial" w:eastAsia="Arial" w:hAnsi="Arial"/>
          <w:sz w:val="24"/>
          <w:szCs w:val="24"/>
        </w:rPr>
        <w:t xml:space="preserve">- РППУ по активам, несущим в себе кредитный риск;</w:t>
      </w:r>
    </w:p>
    <w:p>
      <w:pPr>
        <w:spacing w:after="60"/>
        <w:ind w:firstLine="567"/>
        <w:jc w:val="both"/>
      </w:pPr>
      <w:r>
        <w:rPr>
          <w:rFonts w:ascii="Arial" w:cs="Arial" w:eastAsia="Arial" w:hAnsi="Arial"/>
          <w:sz w:val="24"/>
          <w:szCs w:val="24"/>
        </w:rPr>
        <w:t xml:space="preserve">- РППУ по инвестициям в ценные бумаги, выпускаемые в соответствии с исламскими принципами банковского дела и финансирования и/или в капитал;</w:t>
      </w:r>
    </w:p>
    <w:p>
      <w:pPr>
        <w:spacing w:after="60"/>
        <w:ind w:firstLine="567"/>
        <w:jc w:val="both"/>
      </w:pPr>
      <w:r>
        <w:rPr>
          <w:rFonts w:ascii="Arial" w:cs="Arial" w:eastAsia="Arial" w:hAnsi="Arial"/>
          <w:sz w:val="24"/>
          <w:szCs w:val="24"/>
        </w:rPr>
        <w:t xml:space="preserve">- РППУ по прочей собственности банка, принятой в погашение актива.</w:t>
      </w:r>
    </w:p>
    <w:p>
      <w:pPr>
        <w:spacing w:after="60"/>
        <w:ind w:firstLine="567"/>
        <w:jc w:val="both"/>
      </w:pPr>
      <w:r>
        <w:rPr>
          <w:rFonts w:ascii="Arial" w:cs="Arial" w:eastAsia="Arial" w:hAnsi="Arial"/>
          <w:sz w:val="24"/>
          <w:szCs w:val="24"/>
        </w:rPr>
        <w:t xml:space="preserve">45. Резерв по забалансовым обязательствам учитывается как обязательство банка.</w:t>
      </w:r>
    </w:p>
    <w:p>
      <w:pPr>
        <w:spacing w:after="60"/>
        <w:ind w:firstLine="567"/>
        <w:jc w:val="both"/>
      </w:pPr>
      <w:r>
        <w:rPr>
          <w:rFonts w:ascii="Arial" w:cs="Arial" w:eastAsia="Arial" w:hAnsi="Arial"/>
          <w:sz w:val="24"/>
          <w:szCs w:val="24"/>
        </w:rPr>
        <w:t xml:space="preserve">46. РППУ подразделяется на две части - общие и специальные резервы. Общие резервы создаются по неклассифицированным активам, специальные резервы - по классифицированным активам банка.</w:t>
      </w:r>
    </w:p>
    <w:p>
      <w:pPr>
        <w:spacing w:after="60"/>
        <w:ind w:firstLine="567"/>
        <w:jc w:val="both"/>
      </w:pPr>
      <w:r>
        <w:rPr>
          <w:rFonts w:ascii="Arial" w:cs="Arial" w:eastAsia="Arial" w:hAnsi="Arial"/>
          <w:sz w:val="24"/>
          <w:szCs w:val="24"/>
        </w:rPr>
        <w:t xml:space="preserve">47. Национальный банк устанавливает следующие размеры отчислений в РППУ по активам: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Общие резервы</w:t>
      </w:r>
      <w:r>
        <w:rPr>
          <w:rFonts w:ascii="Arial" w:cs="Arial" w:eastAsia="Arial" w:hAnsi="Arial"/>
          <w:sz w:val="24"/>
          <w:szCs w:val="24"/>
        </w:rPr>
        <w:t xml:space="preserve">	</w:t>
      </w:r>
      <w:r>
        <w:rPr>
          <w:rFonts w:ascii="Arial" w:cs="Arial" w:eastAsia="Arial" w:hAnsi="Arial"/>
          <w:sz w:val="24"/>
          <w:szCs w:val="24"/>
        </w:rPr>
        <w:t xml:space="preserve">Специальные резервы</w:t>
      </w:r>
    </w:p>
    <w:p>
      <w:pPr>
        <w:tabs>
          <w:tab w:val="right" w:pos="10178"/>
        </w:tabs>
        <w:spacing w:after="120"/>
      </w:pPr>
      <w:r>
        <w:rPr>
          <w:rFonts w:ascii="Arial" w:cs="Arial" w:eastAsia="Arial" w:hAnsi="Arial"/>
          <w:sz w:val="24"/>
          <w:szCs w:val="24"/>
        </w:rPr>
        <w:t xml:space="preserve">Нормальные</w:t>
      </w:r>
      <w:r>
        <w:rPr>
          <w:rFonts w:ascii="Arial" w:cs="Arial" w:eastAsia="Arial" w:hAnsi="Arial"/>
          <w:sz w:val="24"/>
          <w:szCs w:val="24"/>
        </w:rPr>
        <w:t xml:space="preserve">	</w:t>
      </w:r>
      <w:r>
        <w:rPr>
          <w:rFonts w:ascii="Arial" w:cs="Arial" w:eastAsia="Arial" w:hAnsi="Arial"/>
          <w:sz w:val="24"/>
          <w:szCs w:val="24"/>
        </w:rPr>
        <w:t xml:space="preserve">15%/25%;</w:t>
      </w:r>
    </w:p>
    <w:p>
      <w:pPr>
        <w:tabs>
          <w:tab w:val="right" w:pos="10178"/>
        </w:tabs>
        <w:spacing w:after="120"/>
      </w:pPr>
      <w:r>
        <w:rPr>
          <w:rFonts w:ascii="Arial" w:cs="Arial" w:eastAsia="Arial" w:hAnsi="Arial"/>
          <w:sz w:val="24"/>
          <w:szCs w:val="24"/>
        </w:rPr>
        <w:t xml:space="preserve">Удовлетворительные</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Активы под наблюдением</w:t>
      </w:r>
      <w:r>
        <w:rPr>
          <w:rFonts w:ascii="Arial" w:cs="Arial" w:eastAsia="Arial" w:hAnsi="Arial"/>
          <w:sz w:val="24"/>
          <w:szCs w:val="24"/>
        </w:rPr>
        <w:t xml:space="preserve">	</w:t>
      </w:r>
      <w:r>
        <w:rPr>
          <w:rFonts w:ascii="Arial" w:cs="Arial" w:eastAsia="Arial" w:hAnsi="Arial"/>
          <w:sz w:val="24"/>
          <w:szCs w:val="24"/>
        </w:rPr>
        <w:t xml:space="preserve">100%.</w:t>
      </w:r>
    </w:p>
    <w:p>
      <w:pPr>
        <w:spacing w:after="60" w:before="120"/>
        <w:ind w:firstLine="567"/>
        <w:jc w:val="both"/>
      </w:pPr>
      <w:r>
        <w:rPr>
          <w:rFonts w:ascii="Arial" w:cs="Arial" w:eastAsia="Arial" w:hAnsi="Arial"/>
          <w:sz w:val="24"/>
          <w:szCs w:val="24"/>
        </w:rPr>
        <w:t xml:space="preserve">По "удовлетворительным" активам банк должен формировать РППУ в размере 2%, за </w:t>
      </w:r>
      <w:r>
        <w:rPr>
          <w:rFonts w:ascii="Arial" w:cs="Arial" w:eastAsia="Arial" w:hAnsi="Arial"/>
          <w:sz w:val="24"/>
          <w:szCs w:val="24"/>
        </w:rPr>
        <w:t xml:space="preserve">исключением активов, указанных в пункте 22-1 настоящего Положения, по которым размер РППУ должен составлять 2,5%, а также в пункте 22-2, по которым размер РППУ должен составлять 1%.</w:t>
      </w:r>
    </w:p>
    <w:p>
      <w:pPr>
        <w:spacing w:after="60"/>
        <w:ind w:firstLine="567"/>
        <w:jc w:val="both"/>
      </w:pPr>
      <w:r>
        <w:rPr>
          <w:rFonts w:ascii="Arial" w:cs="Arial" w:eastAsia="Arial" w:hAnsi="Arial"/>
          <w:sz w:val="24"/>
          <w:szCs w:val="24"/>
        </w:rPr>
        <w:t xml:space="preserve">По "активам под наблюдением" банк должен формировать РППУ в размере 5%, за исключением активов, указанных в пункте 23-2 настоящего Положения, по которым размер РППУ должен составлять 10%.</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22 февраля 2017 года № 6/4</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48. После подсчета размеров всех требуемых отчислений, они суммируются по каждому виду резерва, и определяются общие требуемые размеры отчислений в РППУ. Эти суммы сравниваются с суммой текущих размеров РППУ по балансу. В случае недостатка текущего размера РППУ по балансу, банки должны привести его в соответствие к рассчитанному требуемому размеру РППУ до конца отчетного месяца. Банк может создавать дополнительное отчисление в РППУ только при условии, что он сможет привести доказательства необходимости данной меры.</w:t>
      </w:r>
    </w:p>
    <w:p>
      <w:pPr>
        <w:spacing w:after="60"/>
        <w:ind w:firstLine="567"/>
        <w:jc w:val="both"/>
      </w:pPr>
      <w:r>
        <w:rPr>
          <w:rFonts w:ascii="Arial" w:cs="Arial" w:eastAsia="Arial" w:hAnsi="Arial"/>
          <w:sz w:val="24"/>
          <w:szCs w:val="24"/>
        </w:rPr>
        <w:t xml:space="preserve">49. При оценке размера РППУ банк обязательно должен рассмотреть следующее:</w:t>
      </w:r>
    </w:p>
    <w:p>
      <w:pPr>
        <w:spacing w:after="60"/>
        <w:ind w:firstLine="567"/>
        <w:jc w:val="both"/>
      </w:pPr>
      <w:r>
        <w:rPr>
          <w:rFonts w:ascii="Arial" w:cs="Arial" w:eastAsia="Arial" w:hAnsi="Arial"/>
          <w:sz w:val="24"/>
          <w:szCs w:val="24"/>
        </w:rPr>
        <w:t xml:space="preserve">- исторические потери;</w:t>
      </w:r>
    </w:p>
    <w:p>
      <w:pPr>
        <w:spacing w:after="60"/>
        <w:ind w:firstLine="567"/>
        <w:jc w:val="both"/>
      </w:pPr>
      <w:r>
        <w:rPr>
          <w:rFonts w:ascii="Arial" w:cs="Arial" w:eastAsia="Arial" w:hAnsi="Arial"/>
          <w:sz w:val="24"/>
          <w:szCs w:val="24"/>
        </w:rPr>
        <w:t xml:space="preserve">- тенденции в неплатежах по обязательствам и по активам. Банк должен организовать учет и вести отчетность, которые реально показывают тенденции, наблюдаемые по потерям, неплатежам по обязательствам и активам;</w:t>
      </w:r>
    </w:p>
    <w:p>
      <w:pPr>
        <w:spacing w:after="60"/>
        <w:ind w:firstLine="567"/>
        <w:jc w:val="both"/>
      </w:pPr>
      <w:r>
        <w:rPr>
          <w:rFonts w:ascii="Arial" w:cs="Arial" w:eastAsia="Arial" w:hAnsi="Arial"/>
          <w:sz w:val="24"/>
          <w:szCs w:val="24"/>
        </w:rPr>
        <w:t xml:space="preserve">- тенденции в классифицированных активах. Их следует рассматривать в отношении к размеру активов банка и капитала;</w:t>
      </w:r>
    </w:p>
    <w:p>
      <w:pPr>
        <w:spacing w:after="60"/>
        <w:ind w:firstLine="567"/>
        <w:jc w:val="both"/>
      </w:pPr>
      <w:r>
        <w:rPr>
          <w:rFonts w:ascii="Arial" w:cs="Arial" w:eastAsia="Arial" w:hAnsi="Arial"/>
          <w:sz w:val="24"/>
          <w:szCs w:val="24"/>
        </w:rPr>
        <w:t xml:space="preserve">- экономические условия. Ухудшение экономических условий, как правило, означает, что клиенты банков будут испытывать трудности, которые могут повлиять на их способность выплачивать активы и тем самым увеличиваются потенциальные потери;</w:t>
      </w:r>
    </w:p>
    <w:p>
      <w:pPr>
        <w:spacing w:after="60"/>
        <w:ind w:firstLine="567"/>
        <w:jc w:val="both"/>
      </w:pPr>
      <w:r>
        <w:rPr>
          <w:rFonts w:ascii="Arial" w:cs="Arial" w:eastAsia="Arial" w:hAnsi="Arial"/>
          <w:sz w:val="24"/>
          <w:szCs w:val="24"/>
        </w:rPr>
        <w:t xml:space="preserve">- сосредоточение активов в определенном секторе промышленности, отрасли экономики или географической местности;</w:t>
      </w:r>
    </w:p>
    <w:p>
      <w:pPr>
        <w:spacing w:after="60"/>
        <w:ind w:firstLine="567"/>
        <w:jc w:val="both"/>
      </w:pPr>
      <w:r>
        <w:rPr>
          <w:rFonts w:ascii="Arial" w:cs="Arial" w:eastAsia="Arial" w:hAnsi="Arial"/>
          <w:sz w:val="24"/>
          <w:szCs w:val="24"/>
        </w:rPr>
        <w:t xml:space="preserve">- другие факторы, которые, по мнению банка, влияют на качество активов.</w:t>
      </w:r>
    </w:p>
    <w:p>
      <w:pPr>
        <w:spacing w:after="60"/>
        <w:ind w:firstLine="567"/>
        <w:jc w:val="both"/>
      </w:pPr>
      <w:r>
        <w:rPr>
          <w:rFonts w:ascii="Arial" w:cs="Arial" w:eastAsia="Arial" w:hAnsi="Arial"/>
          <w:sz w:val="24"/>
          <w:szCs w:val="24"/>
        </w:rPr>
        <w:t xml:space="preserve">50. Адекватность РППУ зависит от систематической оценки активов банка. Каждый банк должен разработать систему оценки адекватности своих активов. Такая проверка должна фокусироваться не только на качестве активов, но и на инвестиционной политике банка в целом. Проверка может быть произведена как за счет внутренних ресурсов банка, так и с помощью привлеченных внешних экспертов. Какой бы вариант ни был выбран, проверяющее лицо должно быть опытным и независимым от отдела, занимающегося размещением активов в соответствии с исламскими принципами банковского дела и финансирования. Это означает, что проверяющему лицу должна быть предоставлена полная свобода действий при осмотре любого актива и в отчете должны быть указаны все недостатки, обнаруженные в ходе проверки. Отчет о проверке должен представляться Совету Директоров и Председателю Правления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23 октября 2013 года N 39/8</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Классификация активов и расчет РППУ должны производиться банком ежемесячно, по состоянию на последний день месяца, включительно. РППУ создается независимо от размера полученных доходов, в сумме, достаточной для поддержания резерва на уровне, соответствующем текущей оценке качества активов банка. Неадекватность созданного РППУ качеству активов приводит к неверному отражению финансового состояния банка и расценивается как искажение отчетности.</w:t>
      </w:r>
    </w:p>
    <w:p>
      <w:pPr>
        <w:spacing w:after="60"/>
        <w:ind w:firstLine="567"/>
        <w:jc w:val="both"/>
      </w:pPr>
      <w:r>
        <w:rPr>
          <w:rFonts w:ascii="Arial" w:cs="Arial" w:eastAsia="Arial" w:hAnsi="Arial"/>
          <w:sz w:val="24"/>
          <w:szCs w:val="24"/>
        </w:rPr>
        <w:t xml:space="preserve">52. Банк должен разработать пакет документов, содержащих политику банка в отношении анализа и классификации активов, размещенных в соответствии с исламскими принципами банковского дела и финансирования, методологии и исходных положений о формировании и отчислениях в РППУ, о порядке проведения проверок адекватности РППУ в соответствии с настоящим Положением.</w:t>
      </w:r>
    </w:p>
    <w:p>
      <w:pPr>
        <w:spacing w:after="60"/>
        <w:ind w:firstLine="567"/>
        <w:jc w:val="both"/>
      </w:pPr>
      <w:r>
        <w:rPr>
          <w:rFonts w:ascii="Arial" w:cs="Arial" w:eastAsia="Arial" w:hAnsi="Arial"/>
          <w:sz w:val="24"/>
          <w:szCs w:val="24"/>
        </w:rPr>
        <w:t xml:space="preserve">(1)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N 13/2 от 16 апреля 2003 г. "Об установлении требований по определению субъектов и перечня оффшорных зон" (регистрационный номер МЮ КР N 37-03 от 22.04.2003 г.).</w:t>
      </w:r>
    </w:p>
    <w:p>
      <w:pPr>
        <w:spacing w:after="60"/>
        <w:ind w:firstLine="567"/>
        <w:jc w:val="both"/>
      </w:pPr>
      <w:r>
        <w:rPr>
          <w:rFonts w:ascii="Arial" w:cs="Arial" w:eastAsia="Arial" w:hAnsi="Arial"/>
          <w:sz w:val="24"/>
          <w:szCs w:val="24"/>
        </w:rPr>
        <w:t xml:space="preserve">(2) Или эквивалентного рейтинга, присвоенного другими международно-признанными рейтинговыми агентствами.</w:t>
      </w:r>
    </w:p>
    <w:p>
      <w:pPr>
        <w:spacing w:after="60"/>
        <w:ind w:firstLine="567"/>
        <w:jc w:val="both"/>
      </w:pPr>
      <w:r>
        <w:rPr>
          <w:rFonts w:ascii="Arial" w:cs="Arial" w:eastAsia="Arial" w:hAnsi="Arial"/>
          <w:sz w:val="24"/>
          <w:szCs w:val="24"/>
        </w:rPr>
        <w:t xml:space="preserve">(3) Утверждено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N 18/3 от 21.07.2004 г., зарегистрировано МЮ КР за номером 95-04 от 23.08.2004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w:t>
      </w:r>
    </w:p>
    <w:p>
      <w:pPr>
        <w:spacing w:after="400" w:before="400"/>
        <w:jc w:val="center"/>
      </w:pPr>
      <w:r>
        <w:rPr>
          <w:rFonts w:ascii="Arial" w:cs="Arial" w:eastAsia="Arial" w:hAnsi="Arial"/>
          <w:b/>
          <w:bCs/>
          <w:sz w:val="32"/>
          <w:szCs w:val="32"/>
        </w:rPr>
        <w:t xml:space="preserve">МИНИМАЛЬНЫЕ ТРЕБОВАНИЯ,
 предъявляемые к ценным бумагам, включенным в листинги фондовых бирж Кыргызской Республики по наивысшей и следующей за наивысшей категорией листинга</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Наличие у эмитента/оригинатора ценных бумаг инвестиционного рейтинга не ниже не ниже "ВВВ" или "Ваа2", присвоенного одним из рейтинговых агентств Standard and Poor’s, Fitch Ratings, Moody’s Investors Service.</w:t>
      </w:r>
    </w:p>
    <w:p>
      <w:pPr>
        <w:spacing w:after="60"/>
        <w:ind w:firstLine="567"/>
        <w:jc w:val="both"/>
      </w:pPr>
      <w:r>
        <w:rPr>
          <w:rFonts w:ascii="Arial" w:cs="Arial" w:eastAsia="Arial" w:hAnsi="Arial"/>
          <w:sz w:val="24"/>
          <w:szCs w:val="24"/>
        </w:rPr>
        <w:t xml:space="preserve">2. Сделки с данными ценными бумагами не носят эпизодический характер, т.е. в торговой системе биржи заключается не менее 1 (одной) сделки с данными ценными бумагами в период 30 (тридцати) календарных дней.</w:t>
      </w:r>
    </w:p>
    <w:p>
      <w:pPr>
        <w:spacing w:after="60"/>
        <w:ind w:firstLine="567"/>
        <w:jc w:val="both"/>
      </w:pPr>
      <w:r>
        <w:rPr>
          <w:rFonts w:ascii="Arial" w:cs="Arial" w:eastAsia="Arial" w:hAnsi="Arial"/>
          <w:sz w:val="24"/>
          <w:szCs w:val="24"/>
        </w:rPr>
        <w:t xml:space="preserve">3. Результаты ретроспективного анализа сроков погашения эмитентом/оригинатором обязательств по ранее выпущенным им ценным бумагам должны давать основания полагать, что эмитент/оригинатор не имел задолженности по исполнению обязательств по выпущенным им ценным бумагам.</w:t>
      </w:r>
    </w:p>
    <w:p>
      <w:pPr>
        <w:spacing w:after="60"/>
        <w:ind w:firstLine="567"/>
        <w:jc w:val="both"/>
      </w:pPr>
      <w:r>
        <w:rPr>
          <w:rFonts w:ascii="Arial" w:cs="Arial" w:eastAsia="Arial" w:hAnsi="Arial"/>
          <w:sz w:val="24"/>
          <w:szCs w:val="24"/>
        </w:rPr>
        <w:t xml:space="preserve">4. Безубыточная деятельность эмитента/оригинатора ценных бумаг за последние 3 (три)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vnx8ex2hg7-zrao4ul48">
      <w:r>
        <w:rPr>
          <w:rFonts w:ascii="Arial" w:cs="Arial" w:eastAsia="Arial" w:hAnsi="Arial"/>
          <w:color w:val="132D3F"/>
          <w:sz w:val="16"/>
          <w:szCs w:val="16"/>
          <w:u w:val="single"/>
        </w:rPr>
        <w:t xml:space="preserve">dalil.kg/document/302291</w:t>
      </w:r>
    </w:hyperlink>
  </w:p>
  <w:p>
    <w:pPr>
      <w:spacing w:after="0" w:before="40"/>
      <w:jc w:val="center"/>
    </w:pPr>
    <w:hyperlink w:history="1" r:id="rIdgxrjneki4awox2bdc_hz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b34likrwdh35d6woozz6" Type="http://schemas.openxmlformats.org/officeDocument/2006/relationships/hyperlink" Target="https://dalil.kg/document/301269" TargetMode="External"/><Relationship Id="rIdaqrmq7jtbnl9wvpcecon1" Type="http://schemas.openxmlformats.org/officeDocument/2006/relationships/hyperlink" Target="https://dalil.kg/document/302789" TargetMode="External"/><Relationship Id="rId9l5osnykkh6_f9jvilsyz" Type="http://schemas.openxmlformats.org/officeDocument/2006/relationships/hyperlink" Target="https://dalil.kg/document/800714" TargetMode="External"/><Relationship Id="rId1bjmkvbjp9_4rsyeizl9w" Type="http://schemas.openxmlformats.org/officeDocument/2006/relationships/hyperlink" Target="https://dalil.kg/document/800718" TargetMode="External"/><Relationship Id="rIdeud1sqrlzntec7bqdpdru" Type="http://schemas.openxmlformats.org/officeDocument/2006/relationships/hyperlink" Target="https://dalil.kg/document/80076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vnx8ex2hg7-zrao4ul48" Type="http://schemas.openxmlformats.org/officeDocument/2006/relationships/hyperlink" Target="https://dalil.kg/document/302291" TargetMode="External"/><Relationship Id="rIdgxrjneki4awox2bdc_hz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2026-09-24T23:59:35.326Z</dcterms:created>
  <dcterms:modified xsi:type="dcterms:W3CDTF">2026-09-24T23:59:35.326Z</dcterms:modified>
</cp:coreProperties>
</file>

<file path=docProps/custom.xml><?xml version="1.0" encoding="utf-8"?>
<Properties xmlns="http://schemas.openxmlformats.org/officeDocument/2006/custom-properties" xmlns:vt="http://schemas.openxmlformats.org/officeDocument/2006/docPropsVTypes"/>
</file>