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понятия, применяемые в настоящем Положении</w:t>
      </w:r>
    </w:p>
    <w:p>
      <w:pPr>
        <w:spacing w:after="120"/>
        <w:jc w:val="both"/>
      </w:pPr>
      <w:r>
        <w:rPr>
          <w:rFonts w:ascii="Arial" w:cs="Arial" w:eastAsia="Arial" w:hAnsi="Arial"/>
          <w:sz w:val="24"/>
          <w:szCs w:val="24"/>
        </w:rPr>
        <w:t xml:space="preserve">3. Общие требования по классификации активов</w:t>
      </w:r>
    </w:p>
    <w:p>
      <w:pPr>
        <w:spacing w:after="120"/>
        <w:jc w:val="both"/>
      </w:pPr>
      <w:r>
        <w:rPr>
          <w:rFonts w:ascii="Arial" w:cs="Arial" w:eastAsia="Arial" w:hAnsi="Arial"/>
          <w:sz w:val="24"/>
          <w:szCs w:val="24"/>
        </w:rPr>
        <w:t xml:space="preserve">4. Классификация активов</w:t>
      </w:r>
    </w:p>
    <w:p>
      <w:pPr>
        <w:spacing w:after="120"/>
        <w:jc w:val="both"/>
      </w:pPr>
      <w:r>
        <w:rPr>
          <w:rFonts w:ascii="Arial" w:cs="Arial" w:eastAsia="Arial" w:hAnsi="Arial"/>
          <w:sz w:val="24"/>
          <w:szCs w:val="24"/>
        </w:rPr>
        <w:t xml:space="preserve">§1. Неклассифицированные активы</w:t>
      </w:r>
    </w:p>
    <w:p>
      <w:pPr>
        <w:spacing w:after="120"/>
        <w:jc w:val="both"/>
      </w:pPr>
      <w:r>
        <w:rPr>
          <w:rFonts w:ascii="Arial" w:cs="Arial" w:eastAsia="Arial" w:hAnsi="Arial"/>
          <w:sz w:val="24"/>
          <w:szCs w:val="24"/>
        </w:rPr>
        <w:t xml:space="preserve">§2. Классифицированные активы</w:t>
      </w:r>
    </w:p>
    <w:p>
      <w:pPr>
        <w:spacing w:after="120"/>
        <w:jc w:val="both"/>
      </w:pPr>
      <w:r>
        <w:rPr>
          <w:rFonts w:ascii="Arial" w:cs="Arial" w:eastAsia="Arial" w:hAnsi="Arial"/>
          <w:sz w:val="24"/>
          <w:szCs w:val="24"/>
        </w:rPr>
        <w:t xml:space="preserve">5. Разделение классификации</w:t>
      </w:r>
    </w:p>
    <w:p>
      <w:pPr>
        <w:spacing w:after="120"/>
        <w:jc w:val="both"/>
      </w:pPr>
      <w:r>
        <w:rPr>
          <w:rFonts w:ascii="Arial" w:cs="Arial" w:eastAsia="Arial" w:hAnsi="Arial"/>
          <w:sz w:val="24"/>
          <w:szCs w:val="24"/>
        </w:rPr>
        <w:t xml:space="preserve">6. Классификация межбанковских размещений</w:t>
      </w:r>
    </w:p>
    <w:p>
      <w:pPr>
        <w:spacing w:after="120"/>
        <w:jc w:val="both"/>
      </w:pPr>
      <w:r>
        <w:rPr>
          <w:rFonts w:ascii="Arial" w:cs="Arial" w:eastAsia="Arial" w:hAnsi="Arial"/>
          <w:sz w:val="24"/>
          <w:szCs w:val="24"/>
        </w:rPr>
        <w:t xml:space="preserve">7. Классификация прочей собственности банка</w:t>
      </w:r>
    </w:p>
    <w:p>
      <w:pPr>
        <w:spacing w:after="120"/>
        <w:jc w:val="both"/>
      </w:pPr>
      <w:r>
        <w:rPr>
          <w:rFonts w:ascii="Arial" w:cs="Arial" w:eastAsia="Arial" w:hAnsi="Arial"/>
          <w:sz w:val="24"/>
          <w:szCs w:val="24"/>
        </w:rPr>
        <w:t xml:space="preserve">8. Классификация реструктуризированных активов</w:t>
      </w:r>
    </w:p>
    <w:p>
      <w:pPr>
        <w:spacing w:after="120"/>
        <w:jc w:val="both"/>
      </w:pPr>
      <w:r>
        <w:rPr>
          <w:rFonts w:ascii="Arial" w:cs="Arial" w:eastAsia="Arial" w:hAnsi="Arial"/>
          <w:sz w:val="24"/>
          <w:szCs w:val="24"/>
        </w:rPr>
        <w:t xml:space="preserve">9. Классификация инвестиций в ценные бумаги и/или в капитал</w:t>
      </w:r>
    </w:p>
    <w:p>
      <w:pPr>
        <w:spacing w:after="120"/>
        <w:jc w:val="both"/>
      </w:pPr>
      <w:r>
        <w:rPr>
          <w:rFonts w:ascii="Arial" w:cs="Arial" w:eastAsia="Arial" w:hAnsi="Arial"/>
          <w:sz w:val="24"/>
          <w:szCs w:val="24"/>
        </w:rPr>
        <w:t xml:space="preserve">компании</w:t>
      </w:r>
    </w:p>
    <w:p>
      <w:pPr>
        <w:spacing w:after="120"/>
        <w:jc w:val="both"/>
      </w:pPr>
      <w:r>
        <w:rPr>
          <w:rFonts w:ascii="Arial" w:cs="Arial" w:eastAsia="Arial" w:hAnsi="Arial"/>
          <w:sz w:val="24"/>
          <w:szCs w:val="24"/>
        </w:rPr>
        <w:t xml:space="preserve">10. Классификация забалансовых обязательств</w:t>
      </w:r>
    </w:p>
    <w:p>
      <w:pPr>
        <w:spacing w:after="120"/>
        <w:jc w:val="both"/>
      </w:pPr>
      <w:r>
        <w:rPr>
          <w:rFonts w:ascii="Arial" w:cs="Arial" w:eastAsia="Arial" w:hAnsi="Arial"/>
          <w:sz w:val="24"/>
          <w:szCs w:val="24"/>
        </w:rPr>
        <w:t xml:space="preserve">11. Создание резерва на покрытие потенциальных потерь и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рамках реализации пилотного проекта по внедрению исламских принципов финансирования в Кыргызской Республике.</w:t>
      </w:r>
    </w:p>
    <w:p>
      <w:pPr>
        <w:spacing w:after="120"/>
        <w:jc w:val="both"/>
      </w:pPr>
      <w:r>
        <w:rPr>
          <w:rFonts w:ascii="Arial" w:cs="Arial" w:eastAsia="Arial" w:hAnsi="Arial"/>
          <w:sz w:val="24"/>
          <w:szCs w:val="24"/>
        </w:rPr>
        <w:t xml:space="preserve">2. Целью настоящего Положения является установление минимальных требований по классификации активов и забалансовых обязательств, размещенных/принятых в соответствии с исламскими принципами банковского дела и финансирования, и несущих в себе кредитный риск, а также по созданию соответствующих резервов на покрытие потенциальных потерь и убытков (далее по тексту - РППУ) в целях регулирования и надзора.</w:t>
      </w:r>
    </w:p>
    <w:p>
      <w:pPr>
        <w:spacing w:after="120"/>
        <w:jc w:val="both"/>
      </w:pPr>
      <w:r>
        <w:rPr>
          <w:rFonts w:ascii="Arial" w:cs="Arial" w:eastAsia="Arial" w:hAnsi="Arial"/>
          <w:sz w:val="24"/>
          <w:szCs w:val="24"/>
        </w:rPr>
        <w:t xml:space="preserve">3. Для своевременного покрытия потенциальных потерь и убытков, а также в целях определения реального финансового состояния и эффективности работы, банк обязан на постоянной основе проводить оценку качества активов (классифицировать) и создавать РППУ на уровне, достаточном для покрытия возможных потерь и убытков по активам.</w:t>
      </w:r>
    </w:p>
    <w:p>
      <w:pPr>
        <w:spacing w:after="120"/>
        <w:jc w:val="both"/>
      </w:pPr>
      <w:r>
        <w:rPr>
          <w:rFonts w:ascii="Arial" w:cs="Arial" w:eastAsia="Arial" w:hAnsi="Arial"/>
          <w:sz w:val="24"/>
          <w:szCs w:val="24"/>
        </w:rPr>
        <w:t xml:space="preserve">4. Классификации подлежат активы, являющиеся требованиями к физическим и юридическим лицам, в том числе к банкам, за исключением требований к Правительству Кыргызской Республики и Национальному банку Кыргызской Республики (далее по тексту - Национальный банк).</w:t>
      </w:r>
    </w:p>
    <w:p>
      <w:pPr>
        <w:spacing w:after="120"/>
        <w:jc w:val="both"/>
      </w:pPr>
      <w:r>
        <w:rPr>
          <w:rFonts w:ascii="Arial" w:cs="Arial" w:eastAsia="Arial" w:hAnsi="Arial"/>
          <w:sz w:val="24"/>
          <w:szCs w:val="24"/>
        </w:rPr>
        <w:t xml:space="preserve">5. РППУ создается при обесценении активов, то есть при снижении их стоимости вследствие неисполнения или ненадлежащего исполнения клиентом банка обязательств по активу, предусмотренных условиями договора, либо существования реальной угрозы неисполнения (ненадлежащего исполнения) данных обязательств.</w:t>
      </w:r>
    </w:p>
    <w:p>
      <w:pPr>
        <w:spacing w:after="120"/>
        <w:jc w:val="both"/>
      </w:pPr>
      <w:r>
        <w:rPr>
          <w:rFonts w:ascii="Arial" w:cs="Arial" w:eastAsia="Arial" w:hAnsi="Arial"/>
          <w:sz w:val="24"/>
          <w:szCs w:val="24"/>
        </w:rPr>
        <w:t xml:space="preserve">Величина снижения стоимости актива определяется как разность между балансовой стоимостью актива (остатком задолженности по активу) на момент оценки качества актива, и ее реальной (текущей) стоимостью на момент оценки, произведенной в соответствии с нормами настоящего Положения.</w:t>
      </w:r>
    </w:p>
    <w:p>
      <w:pPr>
        <w:spacing w:after="120"/>
        <w:jc w:val="both"/>
      </w:pPr>
      <w:r>
        <w:rPr>
          <w:rFonts w:ascii="Arial" w:cs="Arial" w:eastAsia="Arial" w:hAnsi="Arial"/>
          <w:sz w:val="24"/>
          <w:szCs w:val="24"/>
        </w:rPr>
        <w:t xml:space="preserve">6. Основой для адекватной оценки размера РППУ является система классификации активов, которая должна быть разработана банком в соответствии с настоящим Положением. При этом необходимый размер отчислений в РППУ рассчитывается от суммы средств, вложенных банком, как собственных, так и привлеченных (подлежащих возврату клиенту в соответствии с условиями договора между банком и клиентом).</w:t>
      </w:r>
    </w:p>
    <w:p>
      <w:pPr>
        <w:spacing w:after="120"/>
        <w:jc w:val="both"/>
      </w:pPr>
      <w:r>
        <w:rPr>
          <w:rFonts w:ascii="Arial" w:cs="Arial" w:eastAsia="Arial" w:hAnsi="Arial"/>
          <w:sz w:val="24"/>
          <w:szCs w:val="24"/>
        </w:rPr>
        <w:t xml:space="preserve">Деятельность банка, при которой не обеспечивается адекватный уровень РППУ, Национальным банком будет рассматриваться как ненадежная и нездоровая банковская практика.</w:t>
      </w:r>
    </w:p>
    <w:p>
      <w:pPr>
        <w:spacing w:after="120"/>
        <w:jc w:val="both"/>
      </w:pPr>
      <w:r>
        <w:rPr>
          <w:rFonts w:ascii="Arial" w:cs="Arial" w:eastAsia="Arial" w:hAnsi="Arial"/>
          <w:sz w:val="24"/>
          <w:szCs w:val="24"/>
        </w:rPr>
        <w:t xml:space="preserve">7. Классификация активов является выражением различной степени риска потерь, которая варьируется в зависимости от различных факторов.</w:t>
      </w:r>
    </w:p>
    <w:p>
      <w:pPr>
        <w:spacing w:after="120"/>
        <w:jc w:val="both"/>
      </w:pPr>
      <w:r>
        <w:rPr>
          <w:rFonts w:ascii="Arial" w:cs="Arial" w:eastAsia="Arial" w:hAnsi="Arial"/>
          <w:sz w:val="24"/>
          <w:szCs w:val="24"/>
        </w:rPr>
        <w:t xml:space="preserve">8. Банк обязан периодически проводить классификацию своих активов, к которым относятся:</w:t>
      </w:r>
    </w:p>
    <w:p>
      <w:pPr>
        <w:spacing w:after="120"/>
        <w:jc w:val="both"/>
      </w:pPr>
      <w:r>
        <w:rPr>
          <w:rFonts w:ascii="Arial" w:cs="Arial" w:eastAsia="Arial" w:hAnsi="Arial"/>
          <w:sz w:val="24"/>
          <w:szCs w:val="24"/>
        </w:rPr>
        <w:t xml:space="preserve">- активы, несущие риск потерь в результате неисполнения или ненадлежащего исполнения клиентом условий договора;</w:t>
      </w:r>
    </w:p>
    <w:p>
      <w:pPr>
        <w:spacing w:after="120"/>
        <w:jc w:val="both"/>
      </w:pPr>
      <w:r>
        <w:rPr>
          <w:rFonts w:ascii="Arial" w:cs="Arial" w:eastAsia="Arial" w:hAnsi="Arial"/>
          <w:sz w:val="24"/>
          <w:szCs w:val="24"/>
        </w:rPr>
        <w:t xml:space="preserve">- инвестиции в ценные бумаги, выпускаемые в соответствии с исламскими принципами банковского дела и финансирования и/или в капитал компании (в форме акций, финансового участия в капитале инвестируемой компании);</w:t>
      </w:r>
    </w:p>
    <w:p>
      <w:pPr>
        <w:spacing w:after="120"/>
        <w:jc w:val="both"/>
      </w:pPr>
      <w:r>
        <w:rPr>
          <w:rFonts w:ascii="Arial" w:cs="Arial" w:eastAsia="Arial" w:hAnsi="Arial"/>
          <w:sz w:val="24"/>
          <w:szCs w:val="24"/>
        </w:rPr>
        <w:t xml:space="preserve">- межбанковские размещения;</w:t>
      </w:r>
    </w:p>
    <w:p>
      <w:pPr>
        <w:spacing w:after="120"/>
        <w:jc w:val="both"/>
      </w:pPr>
      <w:r>
        <w:rPr>
          <w:rFonts w:ascii="Arial" w:cs="Arial" w:eastAsia="Arial" w:hAnsi="Arial"/>
          <w:sz w:val="24"/>
          <w:szCs w:val="24"/>
        </w:rPr>
        <w:t xml:space="preserve">- забалансовые обязательства (аккредитивы, гарантии и др.);</w:t>
      </w:r>
    </w:p>
    <w:p>
      <w:pPr>
        <w:spacing w:after="120"/>
        <w:jc w:val="both"/>
      </w:pPr>
      <w:r>
        <w:rPr>
          <w:rFonts w:ascii="Arial" w:cs="Arial" w:eastAsia="Arial" w:hAnsi="Arial"/>
          <w:sz w:val="24"/>
          <w:szCs w:val="24"/>
        </w:rPr>
        <w:t xml:space="preserve">- прочая собственность банка, принятая в погашение актива и/или в качестве компенсации потерь банка;</w:t>
      </w:r>
    </w:p>
    <w:p>
      <w:pPr>
        <w:spacing w:after="120"/>
        <w:jc w:val="both"/>
      </w:pPr>
      <w:r>
        <w:rPr>
          <w:rFonts w:ascii="Arial" w:cs="Arial" w:eastAsia="Arial" w:hAnsi="Arial"/>
          <w:sz w:val="24"/>
          <w:szCs w:val="24"/>
        </w:rPr>
        <w:t xml:space="preserve">- любые другие активы, не перечисленные выше, но которые несут в себе риск невозврата.</w:t>
      </w:r>
    </w:p>
    <w:p>
      <w:pPr>
        <w:spacing w:after="120"/>
        <w:jc w:val="both"/>
      </w:pPr>
      <w:r>
        <w:rPr>
          <w:rFonts w:ascii="Arial" w:cs="Arial" w:eastAsia="Arial" w:hAnsi="Arial"/>
          <w:sz w:val="24"/>
          <w:szCs w:val="24"/>
        </w:rPr>
        <w:t xml:space="preserve">Принимая во внимание специфику некоторых видов активов и забалансовых обязательств, размещаемых в соответствии с исламскими принципами банковского дела и финансирования, для межбанковских размещений, реструктуризированных активов, инвестиций в ценные бумаги, выпускаемые в соответствии с исламскими принципами банковского дела и финансирования и/или капитал компании, прочей собственности банка, а также для забалансовых обязательств настоящее Положение определяет специальные требования по их классификации.</w:t>
      </w:r>
    </w:p>
    <w:p>
      <w:pPr>
        <w:spacing w:after="120"/>
        <w:jc w:val="both"/>
      </w:pPr>
      <w:r>
        <w:rPr>
          <w:rFonts w:ascii="Arial" w:cs="Arial" w:eastAsia="Arial" w:hAnsi="Arial"/>
          <w:sz w:val="24"/>
          <w:szCs w:val="24"/>
        </w:rPr>
        <w:t xml:space="preserve">9. Для осуществления классификации активов банк должен отслеживать и анализировать данные о движении денежных средств и оценивать способность клиента получить достаточный объем денежных средств для выполнения условий договора. С учетом особенностей принципов исламского банковского дела и финансирования в договоре должно быть предусмотрено периодическое предоставление клиентом финансовой и другой отчетности, позволяющей банку оценивать выполнение клиентом условий договора.</w:t>
      </w:r>
    </w:p>
    <w:p>
      <w:pPr>
        <w:spacing w:after="120"/>
        <w:jc w:val="both"/>
      </w:pPr>
      <w:r>
        <w:rPr>
          <w:rFonts w:ascii="Arial" w:cs="Arial" w:eastAsia="Arial" w:hAnsi="Arial"/>
          <w:sz w:val="24"/>
          <w:szCs w:val="24"/>
        </w:rPr>
        <w:t xml:space="preserve">При этом отсутствие достоверной финансовой информации (например, заверенных внешним аудитором балансового отчета и отчета о доходах клиентов) и ее надлежащего анализа является серьезным недостатком. В соответствии с законодательством Кыргызской Республики ответственность за полноту и достоверность предоставляемой банку отчетности и информации несет клиент. Банк, принимая на себя риски, связанные с заключением договоров, должен проверять достоверность предоставляемых отчетов, как до момента предоставления актива, так и в последующем - до полного возврата средств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Кредитный риск - это риск потерь в результате снижения стоимости актива банка вследствие неисполнения или ненадлежащего исполнения клиентом своих обязательств в соответствии с условиями договора.</w:t>
      </w:r>
    </w:p>
    <w:p>
      <w:pPr>
        <w:spacing w:after="120"/>
        <w:jc w:val="both"/>
      </w:pPr>
      <w:r>
        <w:rPr>
          <w:rFonts w:ascii="Arial" w:cs="Arial" w:eastAsia="Arial" w:hAnsi="Arial"/>
          <w:sz w:val="24"/>
          <w:szCs w:val="24"/>
        </w:rPr>
        <w:t xml:space="preserve">11. Просроченные активы - это активы банка, по которым:</w:t>
      </w:r>
    </w:p>
    <w:p>
      <w:pPr>
        <w:spacing w:after="120"/>
        <w:jc w:val="both"/>
      </w:pPr>
      <w:r>
        <w:rPr>
          <w:rFonts w:ascii="Arial" w:cs="Arial" w:eastAsia="Arial" w:hAnsi="Arial"/>
          <w:sz w:val="24"/>
          <w:szCs w:val="24"/>
        </w:rPr>
        <w:t xml:space="preserve">- клиентом нарушен график выполнения условий договора на срок 30 дней и более;</w:t>
      </w:r>
    </w:p>
    <w:p>
      <w:pPr>
        <w:spacing w:after="120"/>
        <w:jc w:val="both"/>
      </w:pPr>
      <w:r>
        <w:rPr>
          <w:rFonts w:ascii="Arial" w:cs="Arial" w:eastAsia="Arial" w:hAnsi="Arial"/>
          <w:sz w:val="24"/>
          <w:szCs w:val="24"/>
        </w:rPr>
        <w:t xml:space="preserve">- нарушен график плановых платежей на срок 30 дней и более;</w:t>
      </w:r>
    </w:p>
    <w:p>
      <w:pPr>
        <w:spacing w:after="120"/>
        <w:jc w:val="both"/>
      </w:pPr>
      <w:r>
        <w:rPr>
          <w:rFonts w:ascii="Arial" w:cs="Arial" w:eastAsia="Arial" w:hAnsi="Arial"/>
          <w:sz w:val="24"/>
          <w:szCs w:val="24"/>
        </w:rPr>
        <w:t xml:space="preserve">- нарушены сроки поставки товаров согласно договору на срок 30 дней и более;</w:t>
      </w:r>
    </w:p>
    <w:p>
      <w:pPr>
        <w:spacing w:after="120"/>
        <w:jc w:val="both"/>
      </w:pPr>
      <w:r>
        <w:rPr>
          <w:rFonts w:ascii="Arial" w:cs="Arial" w:eastAsia="Arial" w:hAnsi="Arial"/>
          <w:sz w:val="24"/>
          <w:szCs w:val="24"/>
        </w:rPr>
        <w:t xml:space="preserve">- нарушен график реализации проекта, финансовых потоков на срок 30 дней и более;</w:t>
      </w:r>
    </w:p>
    <w:p>
      <w:pPr>
        <w:spacing w:after="120"/>
        <w:jc w:val="both"/>
      </w:pPr>
      <w:r>
        <w:rPr>
          <w:rFonts w:ascii="Arial" w:cs="Arial" w:eastAsia="Arial" w:hAnsi="Arial"/>
          <w:sz w:val="24"/>
          <w:szCs w:val="24"/>
        </w:rPr>
        <w:t xml:space="preserve">- нарушены сроки исполнения договоров третьими сторонами на срок 30 дней и более.</w:t>
      </w:r>
    </w:p>
    <w:p>
      <w:pPr>
        <w:spacing w:after="120"/>
        <w:jc w:val="both"/>
      </w:pPr>
      <w:r>
        <w:rPr>
          <w:rFonts w:ascii="Arial" w:cs="Arial" w:eastAsia="Arial" w:hAnsi="Arial"/>
          <w:sz w:val="24"/>
          <w:szCs w:val="24"/>
        </w:rPr>
        <w:t xml:space="preserve">12. Реструктуризированные активы - это активы, по которым банк осуществляет уступку клиенту в целях выполнения последним условий договора.</w:t>
      </w:r>
    </w:p>
    <w:p>
      <w:pPr>
        <w:spacing w:after="120"/>
        <w:jc w:val="both"/>
      </w:pPr>
      <w:r>
        <w:rPr>
          <w:rFonts w:ascii="Arial" w:cs="Arial" w:eastAsia="Arial" w:hAnsi="Arial"/>
          <w:sz w:val="24"/>
          <w:szCs w:val="24"/>
        </w:rPr>
        <w:t xml:space="preserve">13. Инвестиции банка в ценные бумаги и/или в капитал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120"/>
        <w:jc w:val="both"/>
      </w:pPr>
      <w:r>
        <w:rPr>
          <w:rFonts w:ascii="Arial" w:cs="Arial" w:eastAsia="Arial" w:hAnsi="Arial"/>
          <w:sz w:val="24"/>
          <w:szCs w:val="24"/>
        </w:rPr>
        <w:t xml:space="preserve">Вложения средств банка в оборотные средства других компаний и участие в совместных проектах считаются активами, несущими в себе кредитный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 по классификации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Классификация активов осуществляется на основе анализа финансового состояния клиента банка (далее по тексту - клиента), качества залога, типа клиента по форме собственности, отраслевой принадлежности, наличия и видов гарантий по активам и надежностью самих гарантов, оценки выполнения ранее данных обязательств по активам банков, перспектив дальнейшего развития бизнеса клиента и других факторов.</w:t>
      </w:r>
    </w:p>
    <w:p>
      <w:pPr>
        <w:spacing w:after="120"/>
        <w:jc w:val="both"/>
      </w:pPr>
      <w:r>
        <w:rPr>
          <w:rFonts w:ascii="Arial" w:cs="Arial" w:eastAsia="Arial" w:hAnsi="Arial"/>
          <w:sz w:val="24"/>
          <w:szCs w:val="24"/>
        </w:rPr>
        <w:t xml:space="preserve">15. 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 соблюдая, но, не ограничиваясь положениями, которые предусмотрены настоящим Положением.</w:t>
      </w:r>
    </w:p>
    <w:p>
      <w:pPr>
        <w:spacing w:after="120"/>
        <w:jc w:val="both"/>
      </w:pPr>
      <w:r>
        <w:rPr>
          <w:rFonts w:ascii="Arial" w:cs="Arial" w:eastAsia="Arial" w:hAnsi="Arial"/>
          <w:sz w:val="24"/>
          <w:szCs w:val="24"/>
        </w:rPr>
        <w:t xml:space="preserve">16. Во избежание возможных различных толкований определений категорий классификации вводятся количественные и качественные характеристики активов. Один или совокупность двух и более признаков определяет категорию классификации.</w:t>
      </w:r>
    </w:p>
    <w:p>
      <w:pPr>
        <w:spacing w:after="120"/>
        <w:jc w:val="both"/>
      </w:pPr>
      <w:r>
        <w:rPr>
          <w:rFonts w:ascii="Arial" w:cs="Arial" w:eastAsia="Arial" w:hAnsi="Arial"/>
          <w:sz w:val="24"/>
          <w:szCs w:val="24"/>
        </w:rPr>
        <w:t xml:space="preserve">17. Если классифицируемый актив занимает промежуточное положение между двумя категориями классификации активов, то такой актив следует относить к более низкой категории.</w:t>
      </w:r>
    </w:p>
    <w:p>
      <w:pPr>
        <w:spacing w:after="120"/>
        <w:jc w:val="both"/>
      </w:pPr>
      <w:r>
        <w:rPr>
          <w:rFonts w:ascii="Arial" w:cs="Arial" w:eastAsia="Arial" w:hAnsi="Arial"/>
          <w:sz w:val="24"/>
          <w:szCs w:val="24"/>
        </w:rPr>
        <w:t xml:space="preserve">18. Договорные отношения между банком и его клиентами, отраженные в соответствующих договорах, должны осуществляться на основании законодательства Кыргызской Республики и не нарушать требования Шариата.</w:t>
      </w:r>
    </w:p>
    <w:p>
      <w:pPr>
        <w:spacing w:after="120"/>
        <w:jc w:val="both"/>
      </w:pPr>
      <w:r>
        <w:rPr>
          <w:rFonts w:ascii="Arial" w:cs="Arial" w:eastAsia="Arial" w:hAnsi="Arial"/>
          <w:sz w:val="24"/>
          <w:szCs w:val="24"/>
        </w:rPr>
        <w:t xml:space="preserve">19. Требования настоящего Положения предусматривают минимальный перечень критериев, необходимых для классификации активов. Национальный банк и сам банк вправе, принимая за основу требования настоящего Положения вводить дополнительные критерии оценки качества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Классификация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целях классификации активов и создания РППУ устанавливаются следующие категории:</w:t>
      </w:r>
    </w:p>
    <w:p>
      <w:pPr>
        <w:spacing w:after="120"/>
        <w:jc w:val="both"/>
      </w:pPr>
      <w:r>
        <w:rPr>
          <w:rFonts w:ascii="Arial" w:cs="Arial" w:eastAsia="Arial" w:hAnsi="Arial"/>
          <w:sz w:val="24"/>
          <w:szCs w:val="24"/>
        </w:rPr>
        <w:t xml:space="preserve">Неклассифицированные активы:</w:t>
      </w:r>
    </w:p>
    <w:p>
      <w:pPr>
        <w:spacing w:after="120"/>
        <w:jc w:val="both"/>
      </w:pPr>
      <w:r>
        <w:rPr>
          <w:rFonts w:ascii="Arial" w:cs="Arial" w:eastAsia="Arial" w:hAnsi="Arial"/>
          <w:sz w:val="24"/>
          <w:szCs w:val="24"/>
        </w:rPr>
        <w:t xml:space="preserve">1) нормальные;</w:t>
      </w:r>
    </w:p>
    <w:p>
      <w:pPr>
        <w:spacing w:after="120"/>
        <w:jc w:val="both"/>
      </w:pPr>
      <w:r>
        <w:rPr>
          <w:rFonts w:ascii="Arial" w:cs="Arial" w:eastAsia="Arial" w:hAnsi="Arial"/>
          <w:sz w:val="24"/>
          <w:szCs w:val="24"/>
        </w:rPr>
        <w:t xml:space="preserve">2) удовлетворительные;</w:t>
      </w:r>
    </w:p>
    <w:p>
      <w:pPr>
        <w:spacing w:after="120"/>
        <w:jc w:val="both"/>
      </w:pPr>
      <w:r>
        <w:rPr>
          <w:rFonts w:ascii="Arial" w:cs="Arial" w:eastAsia="Arial" w:hAnsi="Arial"/>
          <w:sz w:val="24"/>
          <w:szCs w:val="24"/>
        </w:rPr>
        <w:t xml:space="preserve">3) активы под наблюдением.</w:t>
      </w:r>
    </w:p>
    <w:p>
      <w:pPr>
        <w:spacing w:after="120"/>
        <w:jc w:val="both"/>
      </w:pPr>
      <w:r>
        <w:rPr>
          <w:rFonts w:ascii="Arial" w:cs="Arial" w:eastAsia="Arial" w:hAnsi="Arial"/>
          <w:sz w:val="24"/>
          <w:szCs w:val="24"/>
        </w:rPr>
        <w:t xml:space="preserve">Классифицированные активы:</w:t>
      </w:r>
    </w:p>
    <w:p>
      <w:pPr>
        <w:spacing w:after="120"/>
        <w:jc w:val="both"/>
      </w:pPr>
      <w:r>
        <w:rPr>
          <w:rFonts w:ascii="Arial" w:cs="Arial" w:eastAsia="Arial" w:hAnsi="Arial"/>
          <w:sz w:val="24"/>
          <w:szCs w:val="24"/>
        </w:rPr>
        <w:t xml:space="preserve">4) субстандартные активы;</w:t>
      </w:r>
    </w:p>
    <w:p>
      <w:pPr>
        <w:spacing w:after="120"/>
        <w:jc w:val="both"/>
      </w:pPr>
      <w:r>
        <w:rPr>
          <w:rFonts w:ascii="Arial" w:cs="Arial" w:eastAsia="Arial" w:hAnsi="Arial"/>
          <w:sz w:val="24"/>
          <w:szCs w:val="24"/>
        </w:rPr>
        <w:t xml:space="preserve">5) сомнительные активы;</w:t>
      </w:r>
    </w:p>
    <w:p>
      <w:pPr>
        <w:spacing w:after="120"/>
        <w:jc w:val="both"/>
      </w:pPr>
      <w:r>
        <w:rPr>
          <w:rFonts w:ascii="Arial" w:cs="Arial" w:eastAsia="Arial" w:hAnsi="Arial"/>
          <w:sz w:val="24"/>
          <w:szCs w:val="24"/>
        </w:rPr>
        <w:t xml:space="preserve">6) активы, классифицируемые как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Неклассифицированные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Нормальные активы - это активы, которые обеспечены, как минимум, на 120% от суммы актива залогом (в виде заклада), состоящим из средств, размещенных физическим или юридическим лицом на отдельном счете, открытом в данном банке в целях хранения денежных средств. Расчетный счет клиентов и корреспондентский счет банка не могут использоваться в качестве обеспечения.</w:t>
      </w:r>
    </w:p>
    <w:p>
      <w:pPr>
        <w:spacing w:after="120"/>
        <w:jc w:val="both"/>
      </w:pPr>
      <w:r>
        <w:rPr>
          <w:rFonts w:ascii="Arial" w:cs="Arial" w:eastAsia="Arial" w:hAnsi="Arial"/>
          <w:sz w:val="24"/>
          <w:szCs w:val="24"/>
        </w:rPr>
        <w:t xml:space="preserve">При этом должны выполняться следующие условия:</w:t>
      </w:r>
    </w:p>
    <w:p>
      <w:pPr>
        <w:spacing w:after="120"/>
        <w:jc w:val="both"/>
      </w:pPr>
      <w:r>
        <w:rPr>
          <w:rFonts w:ascii="Arial" w:cs="Arial" w:eastAsia="Arial" w:hAnsi="Arial"/>
          <w:sz w:val="24"/>
          <w:szCs w:val="24"/>
        </w:rPr>
        <w:t xml:space="preserve">1) договором о предоставлении актива и договором о залоге должно быть предусмотрено, что данные денежные средства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120"/>
        <w:jc w:val="both"/>
      </w:pPr>
      <w:r>
        <w:rPr>
          <w:rFonts w:ascii="Arial" w:cs="Arial" w:eastAsia="Arial" w:hAnsi="Arial"/>
          <w:sz w:val="24"/>
          <w:szCs w:val="24"/>
        </w:rPr>
        <w:t xml:space="preserve">2) договор о залоге должен предусматривать недопущение дальнейшего перезалога данных денежных средств;</w:t>
      </w:r>
    </w:p>
    <w:p>
      <w:pPr>
        <w:spacing w:after="120"/>
        <w:jc w:val="both"/>
      </w:pPr>
      <w:r>
        <w:rPr>
          <w:rFonts w:ascii="Arial" w:cs="Arial" w:eastAsia="Arial" w:hAnsi="Arial"/>
          <w:sz w:val="24"/>
          <w:szCs w:val="24"/>
        </w:rPr>
        <w:t xml:space="preserve">3) банк должен иметь в наличии соответствующие процедуры и осуществлять внутренний контроль, обеспечивающие надлежащее исполнение всех процедур, связанных с оформлением залога и сохранностью денежных средств, привлеченных по исламским принципам банковского дела и финансирования до окончания срока, предусмотренного договором;</w:t>
      </w:r>
    </w:p>
    <w:p>
      <w:pPr>
        <w:spacing w:after="120"/>
        <w:jc w:val="both"/>
      </w:pPr>
      <w:r>
        <w:rPr>
          <w:rFonts w:ascii="Arial" w:cs="Arial" w:eastAsia="Arial" w:hAnsi="Arial"/>
          <w:sz w:val="24"/>
          <w:szCs w:val="24"/>
        </w:rPr>
        <w:t xml:space="preserve">4) средства, размещенные на отдельном счете и являющиеся обеспечением актива,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Если денежные средства, привлеченные по исламским принципам банковского дела и финансирования номинированы в той же валюте, что и актив, то они должны покрывать актив не менее чем на 100%, а денежные средства, привлеченные по исламским принципам банковского дела и финансирования в валюте, отличной от валюты актива, - не менее, чем на 120% в сомовом эквиваленте;</w:t>
      </w:r>
    </w:p>
    <w:p>
      <w:pPr>
        <w:spacing w:after="120"/>
        <w:jc w:val="both"/>
      </w:pPr>
      <w:r>
        <w:rPr>
          <w:rFonts w:ascii="Arial" w:cs="Arial" w:eastAsia="Arial" w:hAnsi="Arial"/>
          <w:sz w:val="24"/>
          <w:szCs w:val="24"/>
        </w:rPr>
        <w:t xml:space="preserve">5) необходимо обязательное проведение еженедельной переоценки денежных средств, привлеченных по исламским принципам банковского дела и финансирования, в случае, если в качестве обеспечения актива предоставлены денежные средства в валюте, отличной от валюты актива;</w:t>
      </w:r>
    </w:p>
    <w:p>
      <w:pPr>
        <w:spacing w:after="120"/>
        <w:jc w:val="both"/>
      </w:pPr>
      <w:r>
        <w:rPr>
          <w:rFonts w:ascii="Arial" w:cs="Arial" w:eastAsia="Arial" w:hAnsi="Arial"/>
          <w:sz w:val="24"/>
          <w:szCs w:val="24"/>
        </w:rPr>
        <w:t xml:space="preserve">6)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Положения и обеспечить исполнение этого требования в течение 10 рабочих дней;</w:t>
      </w:r>
    </w:p>
    <w:p>
      <w:pPr>
        <w:spacing w:after="120"/>
        <w:jc w:val="both"/>
      </w:pPr>
      <w:r>
        <w:rPr>
          <w:rFonts w:ascii="Arial" w:cs="Arial" w:eastAsia="Arial" w:hAnsi="Arial"/>
          <w:sz w:val="24"/>
          <w:szCs w:val="24"/>
        </w:rPr>
        <w:t xml:space="preserve">7) в случае если требования, указанные в подпунктах 1-6, не выполнены, то такой актив будет считаться не полностью обеспеченным, и он должен быть переведен в другую категорию классификации.</w:t>
      </w:r>
    </w:p>
    <w:p>
      <w:pPr>
        <w:spacing w:after="120"/>
        <w:jc w:val="both"/>
      </w:pPr>
      <w:r>
        <w:rPr>
          <w:rFonts w:ascii="Arial" w:cs="Arial" w:eastAsia="Arial" w:hAnsi="Arial"/>
          <w:sz w:val="24"/>
          <w:szCs w:val="24"/>
        </w:rPr>
        <w:t xml:space="preserve">22. Удовлетворительные активы - это активы, по которым клиентом выполняются обязательства по договорам с банком.</w:t>
      </w:r>
    </w:p>
    <w:p>
      <w:pPr>
        <w:spacing w:after="120"/>
        <w:jc w:val="both"/>
      </w:pPr>
      <w:r>
        <w:rPr>
          <w:rFonts w:ascii="Arial" w:cs="Arial" w:eastAsia="Arial" w:hAnsi="Arial"/>
          <w:sz w:val="24"/>
          <w:szCs w:val="24"/>
        </w:rPr>
        <w:t xml:space="preserve">Характерными признаками, при проявлении которых актив считается удовлетворительным, являются:</w:t>
      </w:r>
    </w:p>
    <w:p>
      <w:pPr>
        <w:spacing w:after="120"/>
        <w:jc w:val="both"/>
      </w:pPr>
      <w:r>
        <w:rPr>
          <w:rFonts w:ascii="Arial" w:cs="Arial" w:eastAsia="Arial" w:hAnsi="Arial"/>
          <w:sz w:val="24"/>
          <w:szCs w:val="24"/>
        </w:rPr>
        <w:t xml:space="preserve">- финансовое состояние клиента удовлетворительное;</w:t>
      </w:r>
    </w:p>
    <w:p>
      <w:pPr>
        <w:spacing w:after="120"/>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120"/>
        <w:jc w:val="both"/>
      </w:pPr>
      <w:r>
        <w:rPr>
          <w:rFonts w:ascii="Arial" w:cs="Arial" w:eastAsia="Arial" w:hAnsi="Arial"/>
          <w:sz w:val="24"/>
          <w:szCs w:val="24"/>
        </w:rPr>
        <w:t xml:space="preserve">- выполнение условий договора с банком осуществляется своевременно;</w:t>
      </w:r>
    </w:p>
    <w:p>
      <w:pPr>
        <w:spacing w:after="120"/>
        <w:jc w:val="both"/>
      </w:pPr>
      <w:r>
        <w:rPr>
          <w:rFonts w:ascii="Arial" w:cs="Arial" w:eastAsia="Arial" w:hAnsi="Arial"/>
          <w:sz w:val="24"/>
          <w:szCs w:val="24"/>
        </w:rPr>
        <w:t xml:space="preserve">- имеется ликвидный залог на сумму договора;</w:t>
      </w:r>
    </w:p>
    <w:p>
      <w:pPr>
        <w:spacing w:after="120"/>
        <w:jc w:val="both"/>
      </w:pPr>
      <w:r>
        <w:rPr>
          <w:rFonts w:ascii="Arial" w:cs="Arial" w:eastAsia="Arial" w:hAnsi="Arial"/>
          <w:sz w:val="24"/>
          <w:szCs w:val="24"/>
        </w:rPr>
        <w:t xml:space="preserve">- клиент имеет положительную кредитную историю (не допускал задержек в выполнении своих обязательств, предусмотренных договором с банком).</w:t>
      </w:r>
    </w:p>
    <w:p>
      <w:pPr>
        <w:spacing w:after="120"/>
        <w:jc w:val="both"/>
      </w:pPr>
      <w:r>
        <w:rPr>
          <w:rFonts w:ascii="Arial" w:cs="Arial" w:eastAsia="Arial" w:hAnsi="Arial"/>
          <w:sz w:val="24"/>
          <w:szCs w:val="24"/>
        </w:rPr>
        <w:t xml:space="preserve">23. Активами под наблюдением называются активы, по которым наблюдаются определенные негативные тенденции, из которых следует, что если по подобным активам не будут приняты соответствующие меры, то возможно дальнейшее ухудшение их качества.</w:t>
      </w:r>
    </w:p>
    <w:p>
      <w:pPr>
        <w:spacing w:after="120"/>
        <w:jc w:val="both"/>
      </w:pPr>
      <w:r>
        <w:rPr>
          <w:rFonts w:ascii="Arial" w:cs="Arial" w:eastAsia="Arial" w:hAnsi="Arial"/>
          <w:sz w:val="24"/>
          <w:szCs w:val="24"/>
        </w:rPr>
        <w:t xml:space="preserve">Характерными признаками, при проявлении которых актив считается активом под наблюдением, являются:</w:t>
      </w:r>
    </w:p>
    <w:p>
      <w:pPr>
        <w:spacing w:after="120"/>
        <w:jc w:val="both"/>
      </w:pPr>
      <w:r>
        <w:rPr>
          <w:rFonts w:ascii="Arial" w:cs="Arial" w:eastAsia="Arial" w:hAnsi="Arial"/>
          <w:sz w:val="24"/>
          <w:szCs w:val="24"/>
        </w:rPr>
        <w:t xml:space="preserve">- появление тенденций ухудшения финансового состояния клиента;</w:t>
      </w:r>
    </w:p>
    <w:p>
      <w:pPr>
        <w:spacing w:after="120"/>
        <w:jc w:val="both"/>
      </w:pPr>
      <w:r>
        <w:rPr>
          <w:rFonts w:ascii="Arial" w:cs="Arial" w:eastAsia="Arial" w:hAnsi="Arial"/>
          <w:sz w:val="24"/>
          <w:szCs w:val="24"/>
        </w:rPr>
        <w:t xml:space="preserve">- изменение рыночных условий, которые могут повлиять на выполнение клиентом условий договора, заключенного с банком;</w:t>
      </w:r>
    </w:p>
    <w:p>
      <w:pPr>
        <w:spacing w:after="120"/>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120"/>
        <w:jc w:val="both"/>
      </w:pPr>
      <w:r>
        <w:rPr>
          <w:rFonts w:ascii="Arial" w:cs="Arial" w:eastAsia="Arial" w:hAnsi="Arial"/>
          <w:sz w:val="24"/>
          <w:szCs w:val="24"/>
        </w:rPr>
        <w:t xml:space="preserve">- нарушение графика плановых платежей на срок до 30 дней;</w:t>
      </w:r>
    </w:p>
    <w:p>
      <w:pPr>
        <w:spacing w:after="120"/>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до 30 дней;</w:t>
      </w:r>
    </w:p>
    <w:p>
      <w:pPr>
        <w:spacing w:after="120"/>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120"/>
        <w:jc w:val="both"/>
      </w:pPr>
      <w:r>
        <w:rPr>
          <w:rFonts w:ascii="Arial" w:cs="Arial" w:eastAsia="Arial" w:hAnsi="Arial"/>
          <w:sz w:val="24"/>
          <w:szCs w:val="24"/>
        </w:rPr>
        <w:t xml:space="preserve">- невозможность для банка проводить мониторинг залога из-за недостаточной документации, либо из-за отсутствия экспертов по его оценке;</w:t>
      </w:r>
    </w:p>
    <w:p>
      <w:pPr>
        <w:spacing w:after="120"/>
        <w:jc w:val="both"/>
      </w:pPr>
      <w:r>
        <w:rPr>
          <w:rFonts w:ascii="Arial" w:cs="Arial" w:eastAsia="Arial" w:hAnsi="Arial"/>
          <w:sz w:val="24"/>
          <w:szCs w:val="24"/>
        </w:rPr>
        <w:t xml:space="preserve">- намечающееся уменьшение ликвидности залога (снижение цен, падение курса валют).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Классифицированные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Субстандартными активами называются активы, по которым наблюдаются определенные негативные тенденции, достаточно ясно показывающие, что банку необходимо досоздать РППУ и/или принять соответствующие меры, направленные на улучшение качества актива.</w:t>
      </w:r>
    </w:p>
    <w:p>
      <w:pPr>
        <w:spacing w:after="120"/>
        <w:jc w:val="both"/>
      </w:pPr>
      <w:r>
        <w:rPr>
          <w:rFonts w:ascii="Arial" w:cs="Arial" w:eastAsia="Arial" w:hAnsi="Arial"/>
          <w:sz w:val="24"/>
          <w:szCs w:val="24"/>
        </w:rPr>
        <w:t xml:space="preserve">Характерными признаками, при проявлении которых актив можно считать субстандартным, являются:</w:t>
      </w:r>
    </w:p>
    <w:p>
      <w:pPr>
        <w:spacing w:after="120"/>
        <w:jc w:val="both"/>
      </w:pPr>
      <w:r>
        <w:rPr>
          <w:rFonts w:ascii="Arial" w:cs="Arial" w:eastAsia="Arial" w:hAnsi="Arial"/>
          <w:sz w:val="24"/>
          <w:szCs w:val="24"/>
        </w:rPr>
        <w:t xml:space="preserve">- нарушение графика выполнения условий договора клиентом на срок от 30 до 60 дней;</w:t>
      </w:r>
    </w:p>
    <w:p>
      <w:pPr>
        <w:spacing w:after="120"/>
        <w:jc w:val="both"/>
      </w:pPr>
      <w:r>
        <w:rPr>
          <w:rFonts w:ascii="Arial" w:cs="Arial" w:eastAsia="Arial" w:hAnsi="Arial"/>
          <w:sz w:val="24"/>
          <w:szCs w:val="24"/>
        </w:rPr>
        <w:t xml:space="preserve">- нарушение графика плановых платежей на срок от 30 до 60 дней;</w:t>
      </w:r>
    </w:p>
    <w:p>
      <w:pPr>
        <w:spacing w:after="120"/>
        <w:jc w:val="both"/>
      </w:pPr>
      <w:r>
        <w:rPr>
          <w:rFonts w:ascii="Arial" w:cs="Arial" w:eastAsia="Arial" w:hAnsi="Arial"/>
          <w:sz w:val="24"/>
          <w:szCs w:val="24"/>
        </w:rPr>
        <w:t xml:space="preserve">- нарушение сроков поставки товаров, согласно договору на срок от 30 до 60 дней;</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от 30 до 60 дней;</w:t>
      </w:r>
    </w:p>
    <w:p>
      <w:pPr>
        <w:spacing w:after="120"/>
        <w:jc w:val="both"/>
      </w:pPr>
      <w:r>
        <w:rPr>
          <w:rFonts w:ascii="Arial" w:cs="Arial" w:eastAsia="Arial" w:hAnsi="Arial"/>
          <w:sz w:val="24"/>
          <w:szCs w:val="24"/>
        </w:rPr>
        <w:t xml:space="preserve">- нарушение сроков исполнения договоров третьими сторонами на срок от 30 до 60 дней;</w:t>
      </w:r>
    </w:p>
    <w:p>
      <w:pPr>
        <w:spacing w:after="120"/>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120"/>
        <w:jc w:val="both"/>
      </w:pPr>
      <w:r>
        <w:rPr>
          <w:rFonts w:ascii="Arial" w:cs="Arial" w:eastAsia="Arial" w:hAnsi="Arial"/>
          <w:sz w:val="24"/>
          <w:szCs w:val="24"/>
        </w:rPr>
        <w:t xml:space="preserve">- актив обеспечен залогом не в полной мере или наблюдается ухудшение качества залога, либо залог обесценивается.</w:t>
      </w:r>
    </w:p>
    <w:p>
      <w:pPr>
        <w:spacing w:after="120"/>
        <w:jc w:val="both"/>
      </w:pPr>
      <w:r>
        <w:rPr>
          <w:rFonts w:ascii="Arial" w:cs="Arial" w:eastAsia="Arial" w:hAnsi="Arial"/>
          <w:sz w:val="24"/>
          <w:szCs w:val="24"/>
        </w:rPr>
        <w:t xml:space="preserve">25. Сомнительным активам характерны четко определенные недостатки (недостаток)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В случае, если недостатки не будут устранены, то существует вероятность того, что банк понесет значительные потери.</w:t>
      </w:r>
    </w:p>
    <w:p>
      <w:pPr>
        <w:spacing w:after="120"/>
        <w:jc w:val="both"/>
      </w:pPr>
      <w:r>
        <w:rPr>
          <w:rFonts w:ascii="Arial" w:cs="Arial" w:eastAsia="Arial" w:hAnsi="Arial"/>
          <w:sz w:val="24"/>
          <w:szCs w:val="24"/>
        </w:rPr>
        <w:t xml:space="preserve">Признаками, при проявлении которых актив считается сомнительным, являются:</w:t>
      </w:r>
    </w:p>
    <w:p>
      <w:pPr>
        <w:spacing w:after="120"/>
        <w:jc w:val="both"/>
      </w:pPr>
      <w:r>
        <w:rPr>
          <w:rFonts w:ascii="Arial" w:cs="Arial" w:eastAsia="Arial" w:hAnsi="Arial"/>
          <w:sz w:val="24"/>
          <w:szCs w:val="24"/>
        </w:rPr>
        <w:t xml:space="preserve">- нарушение графика выполнения условий договора клиентом на срок от 60 до 90 дней;</w:t>
      </w:r>
    </w:p>
    <w:p>
      <w:pPr>
        <w:spacing w:after="120"/>
        <w:jc w:val="both"/>
      </w:pPr>
      <w:r>
        <w:rPr>
          <w:rFonts w:ascii="Arial" w:cs="Arial" w:eastAsia="Arial" w:hAnsi="Arial"/>
          <w:sz w:val="24"/>
          <w:szCs w:val="24"/>
        </w:rPr>
        <w:t xml:space="preserve">- нарушение графика плановых платежей на срок от 60 до 90 дней;</w:t>
      </w:r>
    </w:p>
    <w:p>
      <w:pPr>
        <w:spacing w:after="120"/>
        <w:jc w:val="both"/>
      </w:pPr>
      <w:r>
        <w:rPr>
          <w:rFonts w:ascii="Arial" w:cs="Arial" w:eastAsia="Arial" w:hAnsi="Arial"/>
          <w:sz w:val="24"/>
          <w:szCs w:val="24"/>
        </w:rPr>
        <w:t xml:space="preserve">- нарушение сроков поставки товаров, согласно договору на срок от 60 до 90 дней;</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от 60 до 90 дней;</w:t>
      </w:r>
    </w:p>
    <w:p>
      <w:pPr>
        <w:spacing w:after="120"/>
        <w:jc w:val="both"/>
      </w:pPr>
      <w:r>
        <w:rPr>
          <w:rFonts w:ascii="Arial" w:cs="Arial" w:eastAsia="Arial" w:hAnsi="Arial"/>
          <w:sz w:val="24"/>
          <w:szCs w:val="24"/>
        </w:rPr>
        <w:t xml:space="preserve">- нарушение сроков исполнения договоров третьими сторонами на срок от 60 до 90 дней;</w:t>
      </w:r>
    </w:p>
    <w:p>
      <w:pPr>
        <w:spacing w:after="120"/>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120"/>
        <w:jc w:val="both"/>
      </w:pPr>
      <w:r>
        <w:rPr>
          <w:rFonts w:ascii="Arial" w:cs="Arial" w:eastAsia="Arial" w:hAnsi="Arial"/>
          <w:sz w:val="24"/>
          <w:szCs w:val="24"/>
        </w:rPr>
        <w:t xml:space="preserve">- не предусмотренная бизнес-планом, согласованным с банком, убыточная деятельность клиента;</w:t>
      </w:r>
    </w:p>
    <w:p>
      <w:pPr>
        <w:spacing w:after="120"/>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банком и клиентом;</w:t>
      </w:r>
    </w:p>
    <w:p>
      <w:pPr>
        <w:spacing w:after="120"/>
        <w:jc w:val="both"/>
      </w:pPr>
      <w:r>
        <w:rPr>
          <w:rFonts w:ascii="Arial" w:cs="Arial" w:eastAsia="Arial" w:hAnsi="Arial"/>
          <w:sz w:val="24"/>
          <w:szCs w:val="24"/>
        </w:rPr>
        <w:t xml:space="preserve">- невозможность осуществления надлежащего мониторинга реализации проекта, в том числе с выездом на объекты финансирования;</w:t>
      </w:r>
    </w:p>
    <w:p>
      <w:pPr>
        <w:spacing w:after="120"/>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120"/>
        <w:jc w:val="both"/>
      </w:pPr>
      <w:r>
        <w:rPr>
          <w:rFonts w:ascii="Arial" w:cs="Arial" w:eastAsia="Arial" w:hAnsi="Arial"/>
          <w:sz w:val="24"/>
          <w:szCs w:val="24"/>
        </w:rPr>
        <w:t xml:space="preserve">- значительное ухудшение (или фактическое отсутствие) залогового и/или гарантийного обеспечения и, не предоставление клиентом или невозможность предоставления дополнительного залогового или гарантийного обеспечения.</w:t>
      </w:r>
    </w:p>
    <w:p>
      <w:pPr>
        <w:spacing w:after="120"/>
        <w:jc w:val="both"/>
      </w:pPr>
      <w:r>
        <w:rPr>
          <w:rFonts w:ascii="Arial" w:cs="Arial" w:eastAsia="Arial" w:hAnsi="Arial"/>
          <w:sz w:val="24"/>
          <w:szCs w:val="24"/>
        </w:rPr>
        <w:t xml:space="preserve">26. Активы, классифицированные как потери, считаются невозвратными и по ним создается РППУ в размере 100%. После исчерпания всех юридических возможностей возврата таких активов, они учитываются на внесистемных счетах не менее пяти лет.</w:t>
      </w:r>
    </w:p>
    <w:p>
      <w:pPr>
        <w:spacing w:after="120"/>
        <w:jc w:val="both"/>
      </w:pPr>
      <w:r>
        <w:rPr>
          <w:rFonts w:ascii="Arial" w:cs="Arial" w:eastAsia="Arial" w:hAnsi="Arial"/>
          <w:sz w:val="24"/>
          <w:szCs w:val="24"/>
        </w:rPr>
        <w:t xml:space="preserve">Признаками, согласно которым актив относится к потерям, являются:</w:t>
      </w:r>
    </w:p>
    <w:p>
      <w:pPr>
        <w:spacing w:after="120"/>
        <w:jc w:val="both"/>
      </w:pPr>
      <w:r>
        <w:rPr>
          <w:rFonts w:ascii="Arial" w:cs="Arial" w:eastAsia="Arial" w:hAnsi="Arial"/>
          <w:sz w:val="24"/>
          <w:szCs w:val="24"/>
        </w:rPr>
        <w:t xml:space="preserve">- нарушение графика выполнения условий договора клиентом на срок 90 дней и более;</w:t>
      </w:r>
    </w:p>
    <w:p>
      <w:pPr>
        <w:spacing w:after="120"/>
        <w:jc w:val="both"/>
      </w:pPr>
      <w:r>
        <w:rPr>
          <w:rFonts w:ascii="Arial" w:cs="Arial" w:eastAsia="Arial" w:hAnsi="Arial"/>
          <w:sz w:val="24"/>
          <w:szCs w:val="24"/>
        </w:rPr>
        <w:t xml:space="preserve">- нарушение графика плановых платежей на срок 90 дней и более;</w:t>
      </w:r>
    </w:p>
    <w:p>
      <w:pPr>
        <w:spacing w:after="120"/>
        <w:jc w:val="both"/>
      </w:pPr>
      <w:r>
        <w:rPr>
          <w:rFonts w:ascii="Arial" w:cs="Arial" w:eastAsia="Arial" w:hAnsi="Arial"/>
          <w:sz w:val="24"/>
          <w:szCs w:val="24"/>
        </w:rPr>
        <w:t xml:space="preserve">- нарушение сроков поставки товаров, согласно договору на срок 90 дней и более;</w:t>
      </w:r>
    </w:p>
    <w:p>
      <w:pPr>
        <w:spacing w:after="120"/>
        <w:jc w:val="both"/>
      </w:pPr>
      <w:r>
        <w:rPr>
          <w:rFonts w:ascii="Arial" w:cs="Arial" w:eastAsia="Arial" w:hAnsi="Arial"/>
          <w:sz w:val="24"/>
          <w:szCs w:val="24"/>
        </w:rPr>
        <w:t xml:space="preserve">- нарушение графика реализации проекта, финансовых потоков на срок 90 дней и более;</w:t>
      </w:r>
    </w:p>
    <w:p>
      <w:pPr>
        <w:spacing w:after="120"/>
        <w:jc w:val="both"/>
      </w:pPr>
      <w:r>
        <w:rPr>
          <w:rFonts w:ascii="Arial" w:cs="Arial" w:eastAsia="Arial" w:hAnsi="Arial"/>
          <w:sz w:val="24"/>
          <w:szCs w:val="24"/>
        </w:rPr>
        <w:t xml:space="preserve">- нарушение сроков исполнения контрактов третьими сторонами на срок 90 дней и более;</w:t>
      </w:r>
    </w:p>
    <w:p>
      <w:pPr>
        <w:spacing w:after="120"/>
        <w:jc w:val="both"/>
      </w:pPr>
      <w:r>
        <w:rPr>
          <w:rFonts w:ascii="Arial" w:cs="Arial" w:eastAsia="Arial" w:hAnsi="Arial"/>
          <w:sz w:val="24"/>
          <w:szCs w:val="24"/>
        </w:rPr>
        <w:t xml:space="preserve">- проект, в котором участвует банк, не реализован в соответствии с договором;</w:t>
      </w:r>
    </w:p>
    <w:p>
      <w:pPr>
        <w:spacing w:after="120"/>
        <w:jc w:val="both"/>
      </w:pPr>
      <w:r>
        <w:rPr>
          <w:rFonts w:ascii="Arial" w:cs="Arial" w:eastAsia="Arial" w:hAnsi="Arial"/>
          <w:sz w:val="24"/>
          <w:szCs w:val="24"/>
        </w:rPr>
        <w:t xml:space="preserve">- возможность выплаты задолженности зависит в основном от реализации залога;</w:t>
      </w:r>
    </w:p>
    <w:p>
      <w:pPr>
        <w:spacing w:after="120"/>
        <w:jc w:val="both"/>
      </w:pPr>
      <w:r>
        <w:rPr>
          <w:rFonts w:ascii="Arial" w:cs="Arial" w:eastAsia="Arial" w:hAnsi="Arial"/>
          <w:sz w:val="24"/>
          <w:szCs w:val="24"/>
        </w:rPr>
        <w:t xml:space="preserve">- отсутствие залогового обеспечения или невозможность реализации залога из-за отсутствия рынка сбыта;</w:t>
      </w:r>
    </w:p>
    <w:p>
      <w:pPr>
        <w:spacing w:after="120"/>
        <w:jc w:val="both"/>
      </w:pPr>
      <w:r>
        <w:rPr>
          <w:rFonts w:ascii="Arial" w:cs="Arial" w:eastAsia="Arial" w:hAnsi="Arial"/>
          <w:sz w:val="24"/>
          <w:szCs w:val="24"/>
        </w:rPr>
        <w:t xml:space="preserve">- неспособность, отказ клиента выполнить условия договора с банком;</w:t>
      </w:r>
    </w:p>
    <w:p>
      <w:pPr>
        <w:spacing w:after="120"/>
        <w:jc w:val="both"/>
      </w:pPr>
      <w:r>
        <w:rPr>
          <w:rFonts w:ascii="Arial" w:cs="Arial" w:eastAsia="Arial" w:hAnsi="Arial"/>
          <w:sz w:val="24"/>
          <w:szCs w:val="24"/>
        </w:rPr>
        <w:t xml:space="preserve">- нежелание клиента сотрудничать с банком, либо отсутствие клиента;</w:t>
      </w:r>
    </w:p>
    <w:p>
      <w:pPr>
        <w:spacing w:after="120"/>
        <w:jc w:val="both"/>
      </w:pPr>
      <w:r>
        <w:rPr>
          <w:rFonts w:ascii="Arial" w:cs="Arial" w:eastAsia="Arial" w:hAnsi="Arial"/>
          <w:sz w:val="24"/>
          <w:szCs w:val="24"/>
        </w:rPr>
        <w:t xml:space="preserve">- банкротство клиента;</w:t>
      </w:r>
    </w:p>
    <w:p>
      <w:pPr>
        <w:spacing w:after="120"/>
        <w:jc w:val="both"/>
      </w:pPr>
      <w:r>
        <w:rPr>
          <w:rFonts w:ascii="Arial" w:cs="Arial" w:eastAsia="Arial" w:hAnsi="Arial"/>
          <w:sz w:val="24"/>
          <w:szCs w:val="24"/>
        </w:rPr>
        <w:t xml:space="preserve">- активы, размещенные банком по договору с субъектом оффшорных зон, не отвечающим требованиям Национального банка(1).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Разделение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 некоторых случаях активы могут быть классифицированы по двум категориям классификации, т.е. может использоваться разделение классификации.</w:t>
      </w:r>
    </w:p>
    <w:p>
      <w:pPr>
        <w:spacing w:after="120"/>
        <w:jc w:val="both"/>
      </w:pPr>
      <w:r>
        <w:rPr>
          <w:rFonts w:ascii="Arial" w:cs="Arial" w:eastAsia="Arial" w:hAnsi="Arial"/>
          <w:sz w:val="24"/>
          <w:szCs w:val="24"/>
        </w:rPr>
        <w:t xml:space="preserve">Например, в качестве обеспечения актива, выступают денежные средства, привлеченные по исламским принципам банковского дела и финансирования в этом же банке (на депозитном счете), которые покрывают только часть актива, другие источники погашения актива отсутствуют. В этом случае обеспеченная денежными средствами, привлеченными по исламским принципам банковского дела и финансирования часть актива классифицируется как "нормальный актив", необеспеченная часть актива как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Классификация межбанковских размещений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Необеспеченные межбанковские размещения, соответствующие исламским принципам банковского дела и финансирования со сроком погашения не более 30 дней классифицируются с учетом следующего:</w:t>
      </w:r>
    </w:p>
    <w:p>
      <w:pPr>
        <w:spacing w:after="120"/>
        <w:jc w:val="both"/>
      </w:pPr>
      <w:r>
        <w:rPr>
          <w:rFonts w:ascii="Arial" w:cs="Arial" w:eastAsia="Arial" w:hAnsi="Arial"/>
          <w:sz w:val="24"/>
          <w:szCs w:val="24"/>
        </w:rPr>
        <w:t xml:space="preserve">- межбанковские размещения, просроченные на срок от 2 до 10 дней, классифицируются как субстандартные;</w:t>
      </w:r>
    </w:p>
    <w:p>
      <w:pPr>
        <w:spacing w:after="120"/>
        <w:jc w:val="both"/>
      </w:pPr>
      <w:r>
        <w:rPr>
          <w:rFonts w:ascii="Arial" w:cs="Arial" w:eastAsia="Arial" w:hAnsi="Arial"/>
          <w:sz w:val="24"/>
          <w:szCs w:val="24"/>
        </w:rPr>
        <w:t xml:space="preserve">- межбанковские размещения, просроченные на срок от 10 до 30 дней, классифицируются как сомнительные;</w:t>
      </w:r>
    </w:p>
    <w:p>
      <w:pPr>
        <w:spacing w:after="120"/>
        <w:jc w:val="both"/>
      </w:pPr>
      <w:r>
        <w:rPr>
          <w:rFonts w:ascii="Arial" w:cs="Arial" w:eastAsia="Arial" w:hAnsi="Arial"/>
          <w:sz w:val="24"/>
          <w:szCs w:val="24"/>
        </w:rPr>
        <w:t xml:space="preserve">- межбанковские размещения, просроченные более 30 дней, классифицируются как потери.</w:t>
      </w:r>
    </w:p>
    <w:p>
      <w:pPr>
        <w:spacing w:after="120"/>
        <w:jc w:val="both"/>
      </w:pPr>
      <w:r>
        <w:rPr>
          <w:rFonts w:ascii="Arial" w:cs="Arial" w:eastAsia="Arial" w:hAnsi="Arial"/>
          <w:sz w:val="24"/>
          <w:szCs w:val="24"/>
        </w:rPr>
        <w:t xml:space="preserve">29. Для целей п.28 настоящего Положения классификации подлежит вся сумма денежных средств на корреспондентском счете, а началом исчисления просроченности по корреспондентским счетам является дата требования перевода денежных средств.</w:t>
      </w:r>
    </w:p>
    <w:p>
      <w:pPr>
        <w:spacing w:after="120"/>
        <w:jc w:val="both"/>
      </w:pPr>
      <w:r>
        <w:rPr>
          <w:rFonts w:ascii="Arial" w:cs="Arial" w:eastAsia="Arial" w:hAnsi="Arial"/>
          <w:sz w:val="24"/>
          <w:szCs w:val="24"/>
        </w:rPr>
        <w:t xml:space="preserve">30. Межбанковские размещения, обеспеченные залогом, и/или со сроком погашения более 30 дней, классифицируются в соответствии с пунктом 4 и 5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Классификация прочей собственности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первоначального признания в балансе, прочая собственность банка, принятая в погашение актива и/или в качестве компенсации потерь банка, сразу классифицируется как субстандартная.</w:t>
      </w:r>
    </w:p>
    <w:p>
      <w:pPr>
        <w:spacing w:after="120"/>
        <w:jc w:val="both"/>
      </w:pPr>
      <w:r>
        <w:rPr>
          <w:rFonts w:ascii="Arial" w:cs="Arial" w:eastAsia="Arial" w:hAnsi="Arial"/>
          <w:sz w:val="24"/>
          <w:szCs w:val="24"/>
        </w:rPr>
        <w:t xml:space="preserve">32. Прочая собственность банка, принятая в погашение актива и/или в качестве компенсации потерь банка, классифицируется как потери, если она не продана по истечении следующих сроков:</w:t>
      </w:r>
    </w:p>
    <w:p>
      <w:pPr>
        <w:spacing w:after="120"/>
        <w:jc w:val="both"/>
      </w:pPr>
      <w:r>
        <w:rPr>
          <w:rFonts w:ascii="Arial" w:cs="Arial" w:eastAsia="Arial" w:hAnsi="Arial"/>
          <w:sz w:val="24"/>
          <w:szCs w:val="24"/>
        </w:rPr>
        <w:t xml:space="preserve">а) одного года - для движимого имущества;</w:t>
      </w:r>
    </w:p>
    <w:p>
      <w:pPr>
        <w:spacing w:after="120"/>
        <w:jc w:val="both"/>
      </w:pPr>
      <w:r>
        <w:rPr>
          <w:rFonts w:ascii="Arial" w:cs="Arial" w:eastAsia="Arial" w:hAnsi="Arial"/>
          <w:sz w:val="24"/>
          <w:szCs w:val="24"/>
        </w:rPr>
        <w:t xml:space="preserve">б) трех лет - для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Классификация реструктуризированных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Реструктуризированные активы должны классифицироваться как субстандартные до подтверждения:</w:t>
      </w:r>
    </w:p>
    <w:p>
      <w:pPr>
        <w:spacing w:after="120"/>
        <w:jc w:val="both"/>
      </w:pPr>
      <w:r>
        <w:rPr>
          <w:rFonts w:ascii="Arial" w:cs="Arial" w:eastAsia="Arial" w:hAnsi="Arial"/>
          <w:sz w:val="24"/>
          <w:szCs w:val="24"/>
        </w:rPr>
        <w:t xml:space="preserve">- наличия устойчивых потоков платежей по активу на протяжении 180 дней согласно условиям плана реструктуризации;</w:t>
      </w:r>
    </w:p>
    <w:p>
      <w:pPr>
        <w:spacing w:after="120"/>
        <w:jc w:val="both"/>
      </w:pPr>
      <w:r>
        <w:rPr>
          <w:rFonts w:ascii="Arial" w:cs="Arial" w:eastAsia="Arial" w:hAnsi="Arial"/>
          <w:sz w:val="24"/>
          <w:szCs w:val="24"/>
        </w:rPr>
        <w:t xml:space="preserve">- удовлетворительного состояния заемщика, обеспечивающего выплату задолженности согласно плану реструктуризации.</w:t>
      </w:r>
    </w:p>
    <w:p>
      <w:pPr>
        <w:spacing w:after="120"/>
        <w:jc w:val="both"/>
      </w:pPr>
      <w:r>
        <w:rPr>
          <w:rFonts w:ascii="Arial" w:cs="Arial" w:eastAsia="Arial" w:hAnsi="Arial"/>
          <w:sz w:val="24"/>
          <w:szCs w:val="24"/>
        </w:rPr>
        <w:t xml:space="preserve">34. РППУ по таким активам создается на всю балансовую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Классификация инвестиций в ценные</w:t>
      </w:r>
    </w:p>
    <w:p>
      <w:pPr>
        <w:spacing w:after="120"/>
        <w:jc w:val="both"/>
      </w:pPr>
      <w:r>
        <w:rPr>
          <w:rFonts w:ascii="Arial" w:cs="Arial" w:eastAsia="Arial" w:hAnsi="Arial"/>
          <w:sz w:val="24"/>
          <w:szCs w:val="24"/>
        </w:rPr>
        <w:t xml:space="preserve">бумаги и/или в капитал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Инвестиции в ценные бумаги и/или капитал компаний, отражаемые на балансе, должны оцениваться на предмет их качества в соответствии с требованиями настоящего Положения и на основе представленной документации.</w:t>
      </w:r>
    </w:p>
    <w:p>
      <w:pPr>
        <w:spacing w:after="120"/>
        <w:jc w:val="both"/>
      </w:pPr>
      <w:r>
        <w:rPr>
          <w:rFonts w:ascii="Arial" w:cs="Arial" w:eastAsia="Arial" w:hAnsi="Arial"/>
          <w:sz w:val="24"/>
          <w:szCs w:val="24"/>
        </w:rPr>
        <w:t xml:space="preserve">36. Банк должен иметь финансовую отчетность (квартальную - за последний завершенный отчетный квартал и годовую - за три последних завершенных финансовых года, подтвержденную и заверенную независимым аудитором) и другую информацию об инвестируемой компании и/или эмитенте ценных бумаг. Наличие вышеуказанной отчетности не является доказательством того, что банк изучил эмитента ценной бумаги. Банк должен на основе представленных отчетов проводить соответствующий анализ.</w:t>
      </w:r>
    </w:p>
    <w:p>
      <w:pPr>
        <w:spacing w:after="120"/>
        <w:jc w:val="both"/>
      </w:pPr>
      <w:r>
        <w:rPr>
          <w:rFonts w:ascii="Arial" w:cs="Arial" w:eastAsia="Arial" w:hAnsi="Arial"/>
          <w:sz w:val="24"/>
          <w:szCs w:val="24"/>
        </w:rPr>
        <w:t xml:space="preserve">37. Инвестиции в ценные бумаги и/или в капитал компании классифицируются, как минимум, как сомнительные в случае отсутствия информации об инвестируемой компании, включая финансовую отчетность, анализ будущих потоков денежных средств, положение на рынке, бизнес-план компании и другую информацию, которая позволит оценивать качество этих инвестиций.</w:t>
      </w:r>
    </w:p>
    <w:p>
      <w:pPr>
        <w:spacing w:after="120"/>
        <w:jc w:val="both"/>
      </w:pPr>
      <w:r>
        <w:rPr>
          <w:rFonts w:ascii="Arial" w:cs="Arial" w:eastAsia="Arial" w:hAnsi="Arial"/>
          <w:sz w:val="24"/>
          <w:szCs w:val="24"/>
        </w:rPr>
        <w:t xml:space="preserve">38. В случае ухудшения финансового состояния инвестируемой компании и/или эмитента ценных бумаг (либо если инвестируемая компания и/или эмитент ценных бумаг находится на грани банкротства), такие инвестиции классифицируются как сомнительные.</w:t>
      </w:r>
    </w:p>
    <w:p>
      <w:pPr>
        <w:spacing w:after="120"/>
        <w:jc w:val="both"/>
      </w:pPr>
      <w:r>
        <w:rPr>
          <w:rFonts w:ascii="Arial" w:cs="Arial" w:eastAsia="Arial" w:hAnsi="Arial"/>
          <w:sz w:val="24"/>
          <w:szCs w:val="24"/>
        </w:rPr>
        <w:t xml:space="preserve">39. В случае объявления дефолта эмитента/инвестируемой компании, такие инвестиции должны автоматически классифицироваться как потери.</w:t>
      </w:r>
    </w:p>
    <w:p>
      <w:pPr>
        <w:spacing w:after="120"/>
        <w:jc w:val="both"/>
      </w:pPr>
      <w:r>
        <w:rPr>
          <w:rFonts w:ascii="Arial" w:cs="Arial" w:eastAsia="Arial" w:hAnsi="Arial"/>
          <w:sz w:val="24"/>
          <w:szCs w:val="24"/>
        </w:rPr>
        <w:t xml:space="preserve">40. Ценные бумаги центральных банков и правительств иностранных государств, выпускаемые в соответствии с исламскими принципами банковского дела и финансирования не подвергаются классификации в случае, если банк может представить соответствующую информацию о том, что центральные банки и правительства этих стран платежеспособны. Например, наличие у страны суверенного рейтинга не ниже "ВВВ-", присвоенного рейтинговым агентством Sta№dard &amp; Poor's (США)(2).</w:t>
      </w:r>
    </w:p>
    <w:p>
      <w:pPr>
        <w:spacing w:after="120"/>
        <w:jc w:val="both"/>
      </w:pPr>
      <w:r>
        <w:rPr>
          <w:rFonts w:ascii="Arial" w:cs="Arial" w:eastAsia="Arial" w:hAnsi="Arial"/>
          <w:sz w:val="24"/>
          <w:szCs w:val="24"/>
        </w:rPr>
        <w:t xml:space="preserve">41.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Классификация забалансовых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Классификация забалансовых обязательств производится аналогично классификации активов банка согласно требованиям настоящего Положения.</w:t>
      </w:r>
    </w:p>
    <w:p>
      <w:pPr>
        <w:spacing w:after="120"/>
        <w:jc w:val="both"/>
      </w:pPr>
      <w:r>
        <w:rPr>
          <w:rFonts w:ascii="Arial" w:cs="Arial" w:eastAsia="Arial" w:hAnsi="Arial"/>
          <w:sz w:val="24"/>
          <w:szCs w:val="24"/>
        </w:rPr>
        <w:t xml:space="preserve">43. Забалансовые обязательства подвергаются классификации в зависимости от:</w:t>
      </w:r>
    </w:p>
    <w:p>
      <w:pPr>
        <w:spacing w:after="120"/>
        <w:jc w:val="both"/>
      </w:pPr>
      <w:r>
        <w:rPr>
          <w:rFonts w:ascii="Arial" w:cs="Arial" w:eastAsia="Arial" w:hAnsi="Arial"/>
          <w:sz w:val="24"/>
          <w:szCs w:val="24"/>
        </w:rPr>
        <w:t xml:space="preserve">- наступления у банка вероятности выполнения своих обязательств по этим забалансовым обязательствам;</w:t>
      </w:r>
    </w:p>
    <w:p>
      <w:pPr>
        <w:spacing w:after="120"/>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120"/>
        <w:jc w:val="both"/>
      </w:pPr>
      <w:r>
        <w:rPr>
          <w:rFonts w:ascii="Arial" w:cs="Arial" w:eastAsia="Arial" w:hAnsi="Arial"/>
          <w:sz w:val="24"/>
          <w:szCs w:val="24"/>
        </w:rPr>
        <w:t xml:space="preserve">- наличия залога;</w:t>
      </w:r>
    </w:p>
    <w:p>
      <w:pPr>
        <w:spacing w:after="120"/>
        <w:jc w:val="both"/>
      </w:pPr>
      <w:r>
        <w:rPr>
          <w:rFonts w:ascii="Arial" w:cs="Arial" w:eastAsia="Arial" w:hAnsi="Arial"/>
          <w:sz w:val="24"/>
          <w:szCs w:val="24"/>
        </w:rPr>
        <w:t xml:space="preserve">- других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Создание резерва на покрытие</w:t>
      </w:r>
    </w:p>
    <w:p>
      <w:pPr>
        <w:spacing w:after="120"/>
        <w:jc w:val="both"/>
      </w:pPr>
      <w:r>
        <w:rPr>
          <w:rFonts w:ascii="Arial" w:cs="Arial" w:eastAsia="Arial" w:hAnsi="Arial"/>
          <w:sz w:val="24"/>
          <w:szCs w:val="24"/>
        </w:rPr>
        <w:t xml:space="preserve">потенциальных потерь и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Резерв на покрытие потенциальных потерь и убытков создается за счет расходов банка и является контр-счетом к соответствующей категории активов. Банк обязан дополнительно к РППУ, созданным согласно </w:t>
      </w:r>
      <w:hyperlink w:history="1" r:id="rIdjvfxodkh2ubevmicy_gc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убытков"(3), создать РППУ по активам, размещенным согласно исламским принципам банковского дела и финансирования.</w:t>
      </w:r>
    </w:p>
    <w:p>
      <w:pPr>
        <w:spacing w:after="120"/>
        <w:jc w:val="both"/>
      </w:pPr>
      <w:r>
        <w:rPr>
          <w:rFonts w:ascii="Arial" w:cs="Arial" w:eastAsia="Arial" w:hAnsi="Arial"/>
          <w:sz w:val="24"/>
          <w:szCs w:val="24"/>
        </w:rPr>
        <w:t xml:space="preserve">45. Резерв по забалансовым обязательствам учитывается как обязательство банка.</w:t>
      </w:r>
    </w:p>
    <w:p>
      <w:pPr>
        <w:spacing w:after="120"/>
        <w:jc w:val="both"/>
      </w:pPr>
      <w:r>
        <w:rPr>
          <w:rFonts w:ascii="Arial" w:cs="Arial" w:eastAsia="Arial" w:hAnsi="Arial"/>
          <w:sz w:val="24"/>
          <w:szCs w:val="24"/>
        </w:rPr>
        <w:t xml:space="preserve">46. РППУ подразделяется на две части - общие и специальные резервы. Общие резервы создаются по неклассифицированным активам, специальные резервы - по классифицированным активам банка.</w:t>
      </w:r>
    </w:p>
    <w:p>
      <w:pPr>
        <w:spacing w:after="120"/>
        <w:jc w:val="both"/>
      </w:pPr>
      <w:r>
        <w:rPr>
          <w:rFonts w:ascii="Arial" w:cs="Arial" w:eastAsia="Arial" w:hAnsi="Arial"/>
          <w:sz w:val="24"/>
          <w:szCs w:val="24"/>
        </w:rPr>
        <w:t xml:space="preserve">47. Национальный банк устанавливает следующие размеры отчислений в РППУ по активам, размещенным согласно исламским принципам банковского дела и финансирования:</w:t>
      </w:r>
    </w:p>
    <w:p>
      <w:pPr>
        <w:spacing w:after="120"/>
        <w:jc w:val="both"/>
      </w:pPr>
      <w:r>
        <w:rPr>
          <w:rFonts w:ascii="Arial" w:cs="Arial" w:eastAsia="Arial" w:hAnsi="Arial"/>
          <w:sz w:val="24"/>
          <w:szCs w:val="24"/>
        </w:rPr>
        <w:t xml:space="preserve">Общие резервы: Специальные резервы:</w:t>
      </w:r>
    </w:p>
    <w:p>
      <w:pPr>
        <w:spacing w:after="120"/>
        <w:jc w:val="both"/>
      </w:pPr>
      <w:r>
        <w:rPr>
          <w:rFonts w:ascii="Arial" w:cs="Arial" w:eastAsia="Arial" w:hAnsi="Arial"/>
          <w:sz w:val="24"/>
          <w:szCs w:val="24"/>
        </w:rPr>
        <w:t xml:space="preserve">Нормальные - 0%; Субстандартные - 25%;</w:t>
      </w:r>
    </w:p>
    <w:p>
      <w:pPr>
        <w:spacing w:after="120"/>
        <w:jc w:val="both"/>
      </w:pPr>
      <w:r>
        <w:rPr>
          <w:rFonts w:ascii="Arial" w:cs="Arial" w:eastAsia="Arial" w:hAnsi="Arial"/>
          <w:sz w:val="24"/>
          <w:szCs w:val="24"/>
        </w:rPr>
        <w:t xml:space="preserve">Удовлетворительные - 2%; Сомнительные - 50%;</w:t>
      </w:r>
    </w:p>
    <w:p>
      <w:pPr>
        <w:spacing w:after="120"/>
        <w:jc w:val="both"/>
      </w:pPr>
      <w:r>
        <w:rPr>
          <w:rFonts w:ascii="Arial" w:cs="Arial" w:eastAsia="Arial" w:hAnsi="Arial"/>
          <w:sz w:val="24"/>
          <w:szCs w:val="24"/>
        </w:rPr>
        <w:t xml:space="preserve">Активы под наблюдением - 5%; Потери - 100%.</w:t>
      </w:r>
    </w:p>
    <w:p>
      <w:pPr>
        <w:spacing w:after="120"/>
        <w:jc w:val="both"/>
      </w:pPr>
      <w:r>
        <w:rPr>
          <w:rFonts w:ascii="Arial" w:cs="Arial" w:eastAsia="Arial" w:hAnsi="Arial"/>
          <w:sz w:val="24"/>
          <w:szCs w:val="24"/>
        </w:rPr>
        <w:t xml:space="preserve">48. После подсчета размеров всех требуемых отчислений, они суммируются, и определяются общие требуемые размеры отчислений в РППУ. Эти суммы сравниваются с суммой текущих размеров РППУ по балансу. В случае недостатка текущего размера РППУ по балансу, банки должны привести его в соответствие к рассчитанному требуемому размеру РППУ до конца отчетного месяца. Банк может создавать дополнительное отчисление в РППУ только при условии, что он сможет привести доказательства необходимости данной меры.</w:t>
      </w:r>
    </w:p>
    <w:p>
      <w:pPr>
        <w:spacing w:after="120"/>
        <w:jc w:val="both"/>
      </w:pPr>
      <w:r>
        <w:rPr>
          <w:rFonts w:ascii="Arial" w:cs="Arial" w:eastAsia="Arial" w:hAnsi="Arial"/>
          <w:sz w:val="24"/>
          <w:szCs w:val="24"/>
        </w:rPr>
        <w:t xml:space="preserve">49. Классификация активов и расчет РППУ должны производиться банком ежемесячно, по состоянию на последний день месяца, включительно. Неадекватность созданного РППУ качеству активов приводит к неверному отражению финансового состояния банка и расценивается как искажение отчетности.</w:t>
      </w:r>
    </w:p>
    <w:p>
      <w:pPr>
        <w:spacing w:after="120"/>
        <w:jc w:val="both"/>
      </w:pPr>
      <w:r>
        <w:rPr>
          <w:rFonts w:ascii="Arial" w:cs="Arial" w:eastAsia="Arial" w:hAnsi="Arial"/>
          <w:sz w:val="24"/>
          <w:szCs w:val="24"/>
        </w:rPr>
        <w:t xml:space="preserve">50. Банк должен разработать пакет документов, содержащих политику банка в отношении анализа и классификации активов, размещенных в соответствии с исламскими принципами банковского дела и финансирования, методологии и исходных положений о формировании и отчислениях в РППУ, о порядке проведения проверок адекватности РППУ в соответствии с настоящим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w:t>
      </w:r>
      <w:hyperlink w:history="1" r:id="rIdp5rzy_pb6c5zvae6bdt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 13/2 от 16 апреля 2003 г. "Об установлении требований по определению субъектов и перечня оффшорных зон" (регистрационный номер МЮ КР № 37-03 от 22.04.2003 г.).</w:t>
      </w:r>
    </w:p>
    <w:p>
      <w:pPr>
        <w:spacing w:after="120"/>
        <w:jc w:val="both"/>
      </w:pPr>
      <w:r>
        <w:rPr>
          <w:rFonts w:ascii="Arial" w:cs="Arial" w:eastAsia="Arial" w:hAnsi="Arial"/>
          <w:sz w:val="24"/>
          <w:szCs w:val="24"/>
        </w:rPr>
        <w:t xml:space="preserve">(2) Или эквивалентного рейтинга, присвоенного другими международно-признанными рейтинговыми агентствами.</w:t>
      </w:r>
    </w:p>
    <w:p>
      <w:pPr>
        <w:spacing w:after="120"/>
        <w:jc w:val="both"/>
      </w:pPr>
      <w:r>
        <w:rPr>
          <w:rFonts w:ascii="Arial" w:cs="Arial" w:eastAsia="Arial" w:hAnsi="Arial"/>
          <w:sz w:val="24"/>
          <w:szCs w:val="24"/>
        </w:rPr>
        <w:t xml:space="preserve">(3) Утверждено </w:t>
      </w:r>
      <w:hyperlink w:history="1" r:id="rId1ypgyunyw3ckcftg0vx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 18/3 от 21.07.2004 г., зарегистрировано МЮ КР за номером 95-04 от 23.08.2004 г.</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qksexwz7b-rj1ima7_m">
      <w:r>
        <w:rPr>
          <w:rFonts w:ascii="Arial" w:cs="Arial" w:eastAsia="Arial" w:hAnsi="Arial"/>
          <w:color w:val="132D3F"/>
          <w:sz w:val="16"/>
          <w:szCs w:val="16"/>
          <w:u w:val="single"/>
        </w:rPr>
        <w:t xml:space="preserve">dalil.kg/document/302292</w:t>
      </w:r>
    </w:hyperlink>
  </w:p>
  <w:p>
    <w:pPr>
      <w:spacing w:after="0" w:before="40"/>
      <w:jc w:val="center"/>
    </w:pPr>
    <w:hyperlink w:history="1" r:id="rIdppskals2omrt25njhdw5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fxodkh2ubevmicy_gc4" Type="http://schemas.openxmlformats.org/officeDocument/2006/relationships/hyperlink" Target="https://dalil.kg/document/31372" TargetMode="External"/><Relationship Id="rIdp5rzy_pb6c5zvae6bdt_v" Type="http://schemas.openxmlformats.org/officeDocument/2006/relationships/hyperlink" Target="https://dalil.kg/document/30782" TargetMode="External"/><Relationship Id="rId1ypgyunyw3ckcftg0vxg1" Type="http://schemas.openxmlformats.org/officeDocument/2006/relationships/hyperlink" Target="https://dalil.kg/document/313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qksexwz7b-rj1ima7_m" Type="http://schemas.openxmlformats.org/officeDocument/2006/relationships/hyperlink" Target="https://dalil.kg/document/302292" TargetMode="External"/><Relationship Id="rIdppskals2omrt25njhdw5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2026-10-04T10:22:29.980Z</dcterms:created>
  <dcterms:modified xsi:type="dcterms:W3CDTF">2026-10-04T10:22:29.980Z</dcterms:modified>
</cp:coreProperties>
</file>

<file path=docProps/custom.xml><?xml version="1.0" encoding="utf-8"?>
<Properties xmlns="http://schemas.openxmlformats.org/officeDocument/2006/custom-properties" xmlns:vt="http://schemas.openxmlformats.org/officeDocument/2006/docPropsVTypes"/>
</file>