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
 регулирования деятельности Общества с ограниченной ответственностью "Специализированный фонд рефинансирования банков"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Правления Нацбанка КР от</w:t>
      </w:r>
    </w:p>
    <w:p>
      <w:pPr>
        <w:spacing w:after="120"/>
        <w:jc w:val="both"/>
      </w:pPr>
      <w:hyperlink w:history="1" r:id="rIdtw5hsx-vlaskesaxyrio8">
        <w:r>
          <w:rPr>
            <w:rFonts w:ascii="Arial" w:cs="Arial" w:eastAsia="Arial" w:hAnsi="Arial"/>
            <w:i w:val="false"/>
            <w:iCs w:val="false"/>
            <w:color w:val="1D4ED8"/>
            <w:sz w:val="24"/>
            <w:szCs w:val="24"/>
            <w:u w:val="single"/>
          </w:rPr>
          <w:t xml:space="preserve">23 декабря 2009 года № 50/17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6uectvfd3os2rfxai16e">
        <w:r>
          <w:rPr>
            <w:rFonts w:ascii="Arial" w:cs="Arial" w:eastAsia="Arial" w:hAnsi="Arial"/>
            <w:i w:val="false"/>
            <w:iCs w:val="false"/>
            <w:color w:val="1D4ED8"/>
            <w:sz w:val="24"/>
            <w:szCs w:val="24"/>
            <w:u w:val="single"/>
          </w:rPr>
          <w:t xml:space="preserve">31 марта 2010 года № 9/3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jc w:val="both"/>
      </w:pPr>
      <w:hyperlink w:history="1" r:id="rIdiw-pewyfj4fgorwkabxif">
        <w:r>
          <w:rPr>
            <w:rFonts w:ascii="Arial" w:cs="Arial" w:eastAsia="Arial" w:hAnsi="Arial"/>
            <w:i w:val="false"/>
            <w:iCs w:val="false"/>
            <w:color w:val="1D4ED8"/>
            <w:sz w:val="24"/>
            <w:szCs w:val="24"/>
            <w:u w:val="single"/>
          </w:rPr>
          <w:t xml:space="preserve">7 мая 2010 года № 29/3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vneqxfy_ajao4ok1w1ff">
        <w:r>
          <w:rPr>
            <w:rFonts w:ascii="Arial" w:cs="Arial" w:eastAsia="Arial" w:hAnsi="Arial"/>
            <w:i w:val="false"/>
            <w:iCs w:val="false"/>
            <w:color w:val="1D4ED8"/>
            <w:sz w:val="24"/>
            <w:szCs w:val="24"/>
            <w:u w:val="single"/>
          </w:rPr>
          <w:t xml:space="preserve">26 января 2011 года № 4/12</w:t>
        </w:r>
      </w:hyperlink>
      <w:r>
        <w:rPr>
          <w:rFonts w:ascii="Arial" w:cs="Arial" w:eastAsia="Arial" w:hAnsi="Arial"/>
          <w:sz w:val="24"/>
          <w:szCs w:val="24"/>
        </w:rPr>
        <w:t xml:space="preserve"> ,</w:t>
      </w:r>
    </w:p>
    <w:p>
      <w:pPr>
        <w:spacing w:after="120"/>
        <w:jc w:val="both"/>
      </w:pPr>
      <w:hyperlink w:history="1" r:id="rIdhij3dyscxern6g4cst-qy">
        <w:r>
          <w:rPr>
            <w:rFonts w:ascii="Arial" w:cs="Arial" w:eastAsia="Arial" w:hAnsi="Arial"/>
            <w:i w:val="false"/>
            <w:iCs w:val="false"/>
            <w:color w:val="1D4ED8"/>
            <w:sz w:val="24"/>
            <w:szCs w:val="24"/>
            <w:u w:val="single"/>
          </w:rPr>
          <w:t xml:space="preserve">18 февраля 2011 года № 9/2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rvmgrgvkaaqlstwecxctj">
        <w:r>
          <w:rPr>
            <w:rFonts w:ascii="Arial" w:cs="Arial" w:eastAsia="Arial" w:hAnsi="Arial"/>
            <w:i w:val="false"/>
            <w:iCs w:val="false"/>
            <w:color w:val="1D4ED8"/>
            <w:sz w:val="24"/>
            <w:szCs w:val="24"/>
            <w:u w:val="single"/>
          </w:rPr>
          <w:t xml:space="preserve">10 марта 2011 года № 13/2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Экономические нормативы и требования, обязательные для выполнения Фондом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Ограничение риска концентрации и другие требования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и сроки представления сведений о соблюдении экономических нормативов, регулятивной и другой отчетности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Надзор за соблюдением экономических нормативов и требований. Предупредительные меры и санкции, применяемые к Фонду</w:t>
      </w:r>
    </w:p>
    <w:p>
      <w:pPr>
        <w:spacing w:after="120"/>
        <w:jc w:val="both"/>
      </w:pPr>
      <w:hyperlink w:history="1" r:id="rIdn0pv7cdpffvrql3ncsui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. Сведения о выданных кредитах ОсОО "СФРБ"</w:t>
      </w:r>
    </w:p>
    <w:p>
      <w:pPr>
        <w:spacing w:after="120"/>
        <w:jc w:val="both"/>
      </w:pPr>
      <w:hyperlink w:history="1" r:id="rIdwfywatqblrlli05_jzp0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2.</w:t>
        </w:r>
      </w:hyperlink>
      <w:r>
        <w:rPr>
          <w:rFonts w:ascii="Arial" w:cs="Arial" w:eastAsia="Arial" w:hAnsi="Arial"/>
          <w:sz w:val="24"/>
          <w:szCs w:val="24"/>
        </w:rPr>
        <w:t xml:space="preserve"> Сведения о выданных кредитах ОсОО "СФРБ"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Настоящие Правила регулирования деятельности ОсОО "Специализированный фонд рефинансирования банков" (далее - Правила) разработаны в соответствии с </w:t>
      </w:r>
      <w:hyperlink w:history="1" r:id="rIdkg5quozqya9tqv_i8gd0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 и другими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Национальный банк Кыргызской Республики (далее - Национальный банк) устанавливает экономические нормативы, требования и ограничения, обязательные для выполнения ОсОО "Специализированный фонд рефинансирования банков" (далее - Фонд) в целях сохранения стабильности финансовой системы и устойчивого развития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Национальный банк вправе применить предупредительные меры и санкции к Фонду в соответствии с законодательством Кыргызской Республики и настоящими Правилами.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Фонд может устанавливать более высокие требования к своей деятельности, согласно своей внутренней политике управления рисками, не нарушая при этом значений, требуемых для исполнения нормативными актами Национального банка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Экономические нормативы и требования,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обязательные для выполнения Фондом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 должен соблюдать следующие экономические нормативы и требования: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Максимальный размер риска на одного заемщика.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2.1.1. Максимальный размер кредитных средств Фонда, которые Фонд может выдать банку, определяется в соответствии с условиями и требованиями, установленными Политикой рефинансирования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2.1.2. Совокупная задолженность банка (заемщика) по кредитным средствам, полученным от Фонда, не должна превышать 20% размера чистого суммарного капитала Фонда. Данный норматив максимального размера риска на одного заемщика (К1) рассчитывается по следующей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К1 = СЗ / ЧСК x 100%, 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СЗ - совокупная задолженность одного заемщика включая: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кредитные средства (вне зависимости от срока погашения), полученные заемщиком;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начисленные проценты к получению по кредитным средствам данному заемщику;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сумма забалансовых обязательств на выдачу кредитов данному заемщику;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задолженность данного заемщика по кредитам и процентам, учитываемая за балансом или внесистемно.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ЧСК - чистый суммарный капитал Фонда, который определяется согласно Инструкции по определению стандартов адекватности капитала коммерческих банков Кыргызской Республики(1).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норматив максимального размера риска на одного заемщика (К1) не распространяется на кредиты, предоставленные коммерческим банкам, которые обеспечены государственными ценными бумагами, эмитируемыми Правительством Кыргызской Республики и НБКР и/или денежными средствами коммерческого банка, находящимися на отдельном депозитном счете в НБКР, правами требования по займам/кредитам в иностранной валюте (долларах США, евро), полученными Фондом от банков в качестве залогового обеспечения при выдаче им кредитов, кредиты, полученные банком за счет средств Правительства Кыргызской Республики, а также на операции РЕПО, совершенные между Фондом и коммерческим банком.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Правления Нацбанка КР от </w:t>
      </w:r>
      <w:hyperlink w:history="1" r:id="rIdgcfsm_ngwnflc2ply671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марта 2010 года № 9/3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3loqmvorlc4fjpfibj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мая 2010 года № 29/3</w:t>
        </w:r>
      </w:hyperlink>
      <w:r>
        <w:rPr>
          <w:rFonts w:ascii="Arial" w:cs="Arial" w:eastAsia="Arial" w:hAnsi="Arial"/>
          <w:sz w:val="24"/>
          <w:szCs w:val="24"/>
        </w:rPr>
        <w:t xml:space="preserve"> , </w:t>
      </w:r>
      <w:hyperlink w:history="1" r:id="rIdhsbecmvbmo9tjd6gcof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января 2011 года № 4/12</w:t>
        </w:r>
      </w:hyperlink>
      <w:r>
        <w:rPr>
          <w:rFonts w:ascii="Arial" w:cs="Arial" w:eastAsia="Arial" w:hAnsi="Arial"/>
          <w:sz w:val="24"/>
          <w:szCs w:val="24"/>
        </w:rPr>
        <w:t xml:space="preserve"> ,</w:t>
      </w:r>
      <w:hyperlink w:history="1" r:id="rIdhrvar5x5nj3-nmbkrj9n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марта 2011 года № 13/2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Требование к достаточности капитала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Начиная со второго финансового года осуществления своей деятельности, Фонд должен поддерживать значение чистого суммарного капитала (ЧСК) не ниже размера оплаченного уставного капитала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ЧСК Фонда определяется согласно Инструкции по определению стандартов адекватности капитала коммерческих банков Кыргызской Республики(2).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 минимального размера ЧСК Фонда определяется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ЧСК / УК * 100% &gt;= 100%, 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ЧСК - Чистый суммарный капитал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 - оплаченный уставный капитал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4lk-frckkvxevwrgxsu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февраля 2011 года № 9/2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 Требование к размеру инвестиций в помещения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2.3.1. Максимальный размер инвестиций в помещения Фонда (основные средства) не должен превышать 0,5% чистого суммарного капитала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2.3.2. Под помещением Фонда понимается недвижимое имущество (включая строящееся/устанавливаемое недвижимое имущество), которое принадлежит Фонду или находится в распоряжении Фонда по договору финансовой аренды и используется/будет использоваться в качестве основного средства.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2.3.3. В расчет максимального размера инвестиций в помещения Фонда (основные средства) должны включаться все помещения, капитальные вложения в благоустройство арендованной собственности (по договору финансовой аренды). Указанные активы (за исключением помещений по договору финансовой аренды) включаются в расчет по их балансовой стоимости.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Помещения Фонда, находящиеся в распоряжении Фонда по договору финансовой аренды, должны включаться в расчет максимального размера инвестиций в помещения Фонда (основные средства) по первоначальной стоимости за вычетом текущего размера обязательств по финансовой аренде.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Ограничение риска концентрации и другие требования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Политика управления рисками Фонда подлежит одобрению Правлением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aqj7zjrrwvcfmzawo1x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 от 23 декабря 2009 года № 50/17)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Наблюдательный Совет и Дирекция Фонда периодически производят обзор адекватности данной политики и, при необходимости, вносят изменения и дополнения, которые подлежат одобрению Правлением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bos1f7p3gduojonqi2s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 от 23 декабря 2009 года № 50/17)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3.3. Сумма совокупной задолженности одного заемщика, равная или превышающая 1,5 процента уставного капитала Фонда, требует особого внимания со стороны Фонда и постоянной оценки финансового состояния такого заемщика. Такие кредиты считаются "крупными" кредитами.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3.4. Сотрудники Фонда не должны быть участниками (владельцами), сотрудниками коммерческих банков, юридических лиц - аффилированных лиц банков, не должны получать кредиты в коммерческих банках.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3.5. Дирекция Фонда должна предоставлять Наблюдательному совету Фонда информацию о риске концентрации в деятельности Фонда. Система измерения риска концентрации Фонда должна обеспечивать оценку, как минимум, следующих позиций: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размеры средств Фонда: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вложенных в определенные виды активов;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предоставленных одному заемщику;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размещенных в определенной отрасли экономики;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(Исключен в соответствии с постановлением Правления Нацбанка КР от </w:t>
      </w:r>
      <w:hyperlink w:history="1" r:id="rIdy1bnvgal2bgrq66rcev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февраля 2011 года № 9/2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размеры определенных видов обязательств;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размеры различных видов залогов;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(Исключен в соответствии с постановлением Правления Нацбанка КР от </w:t>
      </w:r>
      <w:hyperlink w:history="1" r:id="rIdhn_co7afyka-psqxu7v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февраля 2011 года № 9/2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</w:t>
      </w:r>
      <w:hyperlink w:history="1" r:id="rIdgiur_6dbpa58taapmy1-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 от 23 декабря 2009 года № 50/17, </w:t>
      </w:r>
      <w:hyperlink w:history="1" r:id="rIdufh04kddvxwqeglin0m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февраля 2011 года № 9/2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3.6. Наблюдательным советом Фонда должно быть установлено ограничение риска концентрации кредитов, направленных в один сектор экономики: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максимальный размер суммарной задолженности по "крупным" кредитам;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кредиты и другие виды задолженности одного заемщика в удельном весе от чистого суммарного капитала. Установленное Фондом значение ограничения не должно нарушать значение нормативов, установленных настоящими Правилами;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кредиты, направленные в один вид деятельности (отрасль экономики), в удельном весе от всех кредитов;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десять наиболее крупных кредитов, предоставленных Фондом коммерческим банкам, в удельном весе от всех предоставленных Фондом кредитов;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определенные виды залогового обеспечения по кредитам в удельном весе от суммы всех залоговых обеспечений.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85ssgfbv8tyqqibgzwu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февраля 2011 года № 9/2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3.7. Фонд, как минимум, ежемесячно должен отслеживать уровень риска концентрации во всех формах его проявления, осуществлять анализ текущей ситуации и планировать деятельность по управлению риском (аналитические отчеты, таблицы, графики и диаграммы), которые должны представляться Наблюдательному совету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второй исключен в соответствии с </w:t>
      </w:r>
      <w:hyperlink w:history="1" r:id="rId70mmb_uithpiwuudsw75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 от 23 декабря 2009 года № 50/17)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lux2k4gyasuoqhdy---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 от 23 декабря 2009 года № 50/17)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и сроки представления сведений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соблюдении экономических нормативов,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регулятивной и другой отчетности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В целях обеспечения адекватного регулирования деятельности Фонда, Фонд должен представлять в Национальный банк сведения о соблюдении экономических нормативов и требований, сведения о качестве кредитного портфеля, регулятивную отчетность, а также прочую дополнительную информацию по необходимости и в соответствии с письменным запросом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Сроки предоставления отчетности: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4.2.1. Еженедельно, в первый рабочий день недели, Фонд должен предоставлять отчетность за прошедшую неделю согласно </w:t>
      </w:r>
      <w:hyperlink w:history="1" r:id="rIdn1_eiluz63qslgkdjdu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4.2.2. Ежемесячно, не позднее 12 числа месяца, следующего за отчетным периодом, Фонд должен предоставлять отчетность согласно </w:t>
      </w:r>
      <w:hyperlink w:history="1" r:id="rIdfrjytrvmmunilbbfad2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4.2.3. Годовой ПРБО представляется в Национальный банк не позднее 15 февраля, следующего за отчетным годом.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gxcdlidwkunmy0veditl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февраля 2011 года № 9/2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4.2.4. Годовой ПРБО представляется в Национальный банк не позднее 15 февраля, следующего за отчетным годом.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4.3. Фонд должен предоставлять периодическую регулятивную банковскую отчетность по разделам: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- 1. Балансовый отчет;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- 2. Отчет о прибылях и убытках;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- 3. Структура капитала;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- 4. Изменения в нераспределенной прибыли;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- 5. Портфель ценных бумаг;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- 6. Информация о просроченных активах;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- 7. Классификация активов и забалансовых обязательств по степени риска;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- 8. Изменения в РППУ;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- 9. Сведения о крупных рисках;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- 12. Анализ чувствительности активов и обязательств к изменению процентных ставок, срок погашения активов/обязательств;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- 14. Сведения о соблюдении экономических нормативов;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- 15. Расчет капитала;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- 18. Прочие сведения. (А. Среднее значение активов и обязательств, Б. О деятельности банка, В. О персонале банка, Г. Сведения по клиентам с наибольшими оборотами по счетам, Д. Сведения о количестве и сумме сообщений в Службу финансовой разведки Кыргызской Республики).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отчеты должны быть представлены в форме и завизированы в порядке, установленном для ПРБО.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4.4. Финансовая отчетность Фонда представляется в Национальный банк в соответствии с требованиями, установленными для коммерческих банков, согласно Положению "О требованиях к формированию финансовой отчетности коммерческих банков Кыргызской Республики"(3).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4.5. В случае непредставления регулятивной отчетности в сроки, установленные настоящими Правилами, а также при предоставлении недостоверной информации в регулятивной отчетности, к Фонду могут быть применены предупредительные меры и санкции, установленные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uk2m1c1w_izanmysgqod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февраля 2011 года № 9/2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Надзор за соблюдением экономических нормативов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требований. Предупредительные меры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санкции, применяемые к Фонду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Надзор за соблюдением Фондом экономических нормативов и других требований, включая проведение ежегодной инспекторской проверки деятельности Фонда, осуществляется уполномоченным структурным подразделением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ewdh2o3fvbv00zdtcd7a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 от 23 декабря 2009 года № 50/17)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 Проверка соблюдения Фондом экономических нормативов и других требований может производиться по состоянию на любую дату на основании бухгалтерского баланса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5.3. Нарушениями деятельности Фонда считаются действия или бездействие, противоречащие законодательству Кыргызской Республики и нормативным актам Национального банка, в том числе, постановлениям, приказам, распоряжениям, инструкциям, предписаниям и иным документам и требованиям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5.4. При обнаружении фактов несоблюдения Фондом экономических нормативов и требований, установленных настоящими Правилами, представления недостоверной (или непредставление) информации, либо нарушения законодательства, Национальный банк применяет к Фонду предупредительные меры и санкции в соответствии с Законами Кыргызской Республики "</w:t>
      </w:r>
      <w:hyperlink w:history="1" r:id="rIdh-ue3tlp0vqbgmabnnq3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ljigxvqzo05o1plhh6b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банках и банковской деятельности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 и соответствующими нормативными актами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5.5. В случае необходимости информирования Фонда о том, что он нарушает определенные нормы и правила, а также положения законодательства, включая нормативные правовые акты Кыргызской Республики, или занимается деятельностью, угрожающей его стабильности и надежности, и в целях предупреждения, что в дальнейшем к нему могут быть применены соответствующие меры воздействия, Фонду направляется письменное предупреждение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5.6. В целях сохранения стабильной финансовой системы к Фонду могут применяться меры воздействия, предусмотренные банковским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5.7. В случае несогласия Фонда с принятым решением Национального банка, Фонд вправе обжаловать его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</w:t>
      </w:r>
      <w:r>
        <w:rPr>
          <w:rFonts w:ascii="Arial" w:cs="Arial" w:eastAsia="Arial" w:hAnsi="Arial"/>
          <w:sz w:val="24"/>
          <w:szCs w:val="24"/>
        </w:rPr>
        <w:t xml:space="preserve">Утверждено </w:t>
      </w:r>
      <w:hyperlink w:history="1" r:id="rIdjopegcqrp8wdapm2puy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НБКР "Об утверждении новой редакции </w:t>
      </w:r>
      <w:hyperlink w:history="1" r:id="rIdqoamfcsfrxvafhpvblj4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определению стандартов адекватности капитала коммерческих банков Кыргызской Республики" № 18/2 от 21.07.2004 г., регистрационный номер МЮ КР 94-04 от 23.08.2004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(2) </w:t>
      </w:r>
      <w:r>
        <w:rPr>
          <w:rFonts w:ascii="Arial" w:cs="Arial" w:eastAsia="Arial" w:hAnsi="Arial"/>
          <w:sz w:val="24"/>
          <w:szCs w:val="24"/>
        </w:rPr>
        <w:t xml:space="preserve">См. сноску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(3) Утверждено </w:t>
      </w:r>
      <w:hyperlink w:history="1" r:id="rIdwfqxulzsu_lepub2xdw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НБКР "Об утверждении Положения "О требованиях к формированию финансовой отчетности коммерческих банков Кыргызской Республики" № 33/2 от 03.12.2003 г., регистрационный номер МЮ КР 125-03 от 29.12.2004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выданных кредитах ОсОО "СФРБ"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период с ____________ по 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(Исключено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постановлением Правления Нацбанка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hyperlink w:history="1" r:id="rIdnj5qok1uhz87yy52sy85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февраля 2011 года № 9/2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выданных кредитах ОсОО "СФРБ"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состоянию на "___" ______________ 20__ г.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(Исключено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постановлением Правления Нацбанка КР</w:t>
      </w:r>
    </w:p>
    <w:p>
      <w:pPr>
        <w:spacing w:after="120"/>
        <w:jc w:val="both"/>
      </w:pPr>
      <w:hyperlink w:history="1" r:id="rIdm9ccohmdw2f4hsvftah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18 февраля 2011 года № 9/2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sgtd2fuze3mqp6yipbk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dalil.kg/document/302295</w:t>
      </w:r>
    </w:hyperlink>
  </w:p>
  <w:p>
    <w:pPr>
      <w:spacing w:after="0" w:before="40"/>
      <w:jc w:val="center"/>
    </w:pPr>
    <w:hyperlink w:history="1" r:id="rId4fg9_hhds_mhd6ezxshe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w5hsx-vlaskesaxyrio8" Type="http://schemas.openxmlformats.org/officeDocument/2006/relationships/hyperlink" Target="https://dalil.kg/document/301266" TargetMode="External"/><Relationship Id="rIdl6uectvfd3os2rfxai16e" Type="http://schemas.openxmlformats.org/officeDocument/2006/relationships/hyperlink" Target="https://dalil.kg/document/302338" TargetMode="External"/><Relationship Id="rIdiw-pewyfj4fgorwkabxif" Type="http://schemas.openxmlformats.org/officeDocument/2006/relationships/hyperlink" Target="https://dalil.kg/document/302337" TargetMode="External"/><Relationship Id="rIdxvneqxfy_ajao4ok1w1ff" Type="http://schemas.openxmlformats.org/officeDocument/2006/relationships/hyperlink" Target="https://dalil.kg/document/302400" TargetMode="External"/><Relationship Id="rIdhij3dyscxern6g4cst-qy" Type="http://schemas.openxmlformats.org/officeDocument/2006/relationships/hyperlink" Target="https://dalil.kg/document/302402" TargetMode="External"/><Relationship Id="rIdrvmgrgvkaaqlstwecxctj" Type="http://schemas.openxmlformats.org/officeDocument/2006/relationships/hyperlink" Target="https://dalil.kg/document/302403" TargetMode="External"/><Relationship Id="rIdn0pv7cdpffvrql3ncsui2" Type="http://schemas.openxmlformats.org/officeDocument/2006/relationships/hyperlink" Target="https://dalil.kg/document/302295#p1" TargetMode="External"/><Relationship Id="rIdwfywatqblrlli05_jzp0n" Type="http://schemas.openxmlformats.org/officeDocument/2006/relationships/hyperlink" Target="https://dalil.kg/document/302295#p2" TargetMode="External"/><Relationship Id="rIdkg5quozqya9tqv_i8gd0v" Type="http://schemas.openxmlformats.org/officeDocument/2006/relationships/hyperlink" Target="https://dalil.kg/document/559" TargetMode="External"/><Relationship Id="rIdgcfsm_ngwnflc2ply6712" Type="http://schemas.openxmlformats.org/officeDocument/2006/relationships/hyperlink" Target="https://dalil.kg/document/302338" TargetMode="External"/><Relationship Id="rIdm3loqmvorlc4fjpfibjuc" Type="http://schemas.openxmlformats.org/officeDocument/2006/relationships/hyperlink" Target="https://dalil.kg/document/302337" TargetMode="External"/><Relationship Id="rIdhsbecmvbmo9tjd6gcofgf" Type="http://schemas.openxmlformats.org/officeDocument/2006/relationships/hyperlink" Target="https://dalil.kg/document/302400" TargetMode="External"/><Relationship Id="rIdhrvar5x5nj3-nmbkrj9nl" Type="http://schemas.openxmlformats.org/officeDocument/2006/relationships/hyperlink" Target="https://dalil.kg/document/302403" TargetMode="External"/><Relationship Id="rId4lk-frckkvxevwrgxsufs" Type="http://schemas.openxmlformats.org/officeDocument/2006/relationships/hyperlink" Target="https://dalil.kg/document/302402" TargetMode="External"/><Relationship Id="rIdaqj7zjrrwvcfmzawo1xgi" Type="http://schemas.openxmlformats.org/officeDocument/2006/relationships/hyperlink" Target="https://dalil.kg/document/301266" TargetMode="External"/><Relationship Id="rIdbos1f7p3gduojonqi2soe" Type="http://schemas.openxmlformats.org/officeDocument/2006/relationships/hyperlink" Target="https://dalil.kg/document/301266" TargetMode="External"/><Relationship Id="rIdy1bnvgal2bgrq66rcevth" Type="http://schemas.openxmlformats.org/officeDocument/2006/relationships/hyperlink" Target="https://dalil.kg/document/302402" TargetMode="External"/><Relationship Id="rIdhn_co7afyka-psqxu7vfy" Type="http://schemas.openxmlformats.org/officeDocument/2006/relationships/hyperlink" Target="https://dalil.kg/document/302402" TargetMode="External"/><Relationship Id="rIdgiur_6dbpa58taapmy1-x" Type="http://schemas.openxmlformats.org/officeDocument/2006/relationships/hyperlink" Target="https://dalil.kg/document/301266" TargetMode="External"/><Relationship Id="rIdufh04kddvxwqeglin0mir" Type="http://schemas.openxmlformats.org/officeDocument/2006/relationships/hyperlink" Target="https://dalil.kg/document/302402" TargetMode="External"/><Relationship Id="rId85ssgfbv8tyqqibgzwucz" Type="http://schemas.openxmlformats.org/officeDocument/2006/relationships/hyperlink" Target="https://dalil.kg/document/302402" TargetMode="External"/><Relationship Id="rId70mmb_uithpiwuudsw75d" Type="http://schemas.openxmlformats.org/officeDocument/2006/relationships/hyperlink" Target="https://dalil.kg/document/301266" TargetMode="External"/><Relationship Id="rIdlux2k4gyasuoqhdy---qg" Type="http://schemas.openxmlformats.org/officeDocument/2006/relationships/hyperlink" Target="https://dalil.kg/document/301266" TargetMode="External"/><Relationship Id="rIdn1_eiluz63qslgkdjdund" Type="http://schemas.openxmlformats.org/officeDocument/2006/relationships/hyperlink" Target="https://dalil.kg/document/302295#p1" TargetMode="External"/><Relationship Id="rIdfrjytrvmmunilbbfad2gk" Type="http://schemas.openxmlformats.org/officeDocument/2006/relationships/hyperlink" Target="https://dalil.kg/document/302295#p2" TargetMode="External"/><Relationship Id="rIdgxcdlidwkunmy0veditl4" Type="http://schemas.openxmlformats.org/officeDocument/2006/relationships/hyperlink" Target="https://dalil.kg/document/302402" TargetMode="External"/><Relationship Id="rIduk2m1c1w_izanmysgqod0" Type="http://schemas.openxmlformats.org/officeDocument/2006/relationships/hyperlink" Target="https://dalil.kg/document/302402" TargetMode="External"/><Relationship Id="rIdewdh2o3fvbv00zdtcd7a-" Type="http://schemas.openxmlformats.org/officeDocument/2006/relationships/hyperlink" Target="https://dalil.kg/document/301266" TargetMode="External"/><Relationship Id="rIdh-ue3tlp0vqbgmabnnq3g" Type="http://schemas.openxmlformats.org/officeDocument/2006/relationships/hyperlink" Target="https://dalil.kg/document/559" TargetMode="External"/><Relationship Id="rIdljigxvqzo05o1plhh6bvh" Type="http://schemas.openxmlformats.org/officeDocument/2006/relationships/hyperlink" Target="https://dalil.kg/document/560" TargetMode="External"/><Relationship Id="rIdjopegcqrp8wdapm2puyzr" Type="http://schemas.openxmlformats.org/officeDocument/2006/relationships/hyperlink" Target="https://dalil.kg/document/31369" TargetMode="External"/><Relationship Id="rIdqoamfcsfrxvafhpvblj4o" Type="http://schemas.openxmlformats.org/officeDocument/2006/relationships/hyperlink" Target="https://dalil.kg/document/31370" TargetMode="External"/><Relationship Id="rIdwfqxulzsu_lepub2xdwge" Type="http://schemas.openxmlformats.org/officeDocument/2006/relationships/hyperlink" Target="https://dalil.kg/document/31286" TargetMode="External"/><Relationship Id="rIdnj5qok1uhz87yy52sy85t" Type="http://schemas.openxmlformats.org/officeDocument/2006/relationships/hyperlink" Target="https://dalil.kg/document/302402" TargetMode="External"/><Relationship Id="rIdm9ccohmdw2f4hsvftahej" Type="http://schemas.openxmlformats.org/officeDocument/2006/relationships/hyperlink" Target="https://dalil.kg/document/302402" TargetMode="External"/><Relationship Id="rId8" Type="http://schemas.openxmlformats.org/officeDocument/2006/relationships/image" Target="media/8de64316e95979c063c17bcd5380dc052a2594e9.png"/><Relationship Id="rId4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sgtd2fuze3mqp6yipbkf" Type="http://schemas.openxmlformats.org/officeDocument/2006/relationships/hyperlink" Target="https://dalil.kg/document/302295" TargetMode="External"/><Relationship Id="rId4fg9_hhds_mhd6ezxshe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2026-09-23T21:08:07.857Z</dcterms:created>
  <dcterms:modified xsi:type="dcterms:W3CDTF">2026-09-23T21:08:07.857Z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