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397"/>
        <w:jc w:val="both"/>
      </w:pPr>
      <w:r>
        <w:rPr>
          <w:rFonts w:ascii="Arial" w:cs="Arial" w:eastAsia="Arial" w:hAnsi="Arial"/>
          <w:sz w:val="24"/>
          <w:szCs w:val="24"/>
        </w:rPr>
        <w:t xml:space="preserve">Зарегистрировано в Министерстве юстиции Кыргызской Республики 14 июля 2009 года. Регистрационный номер 74-09</w:t>
      </w:r>
    </w:p>
    <w:p>
      <w:pPr>
        <w:spacing w:after="120"/>
        <w:jc w:val="both"/>
      </w:pPr>
      <w:r>
        <w:rPr>
          <w:rFonts w:ascii="Arial" w:cs="Arial" w:eastAsia="Arial" w:hAnsi="Arial"/>
          <w:sz w:val="24"/>
          <w:szCs w:val="24"/>
        </w:rPr>
        <w:t xml:space="preserve">Приложение</w:t>
      </w:r>
    </w:p>
    <w:p>
      <w:pPr>
        <w:spacing w:after="480" w:before="200"/>
        <w:jc w:val="center"/>
      </w:pPr>
      <w:r>
        <w:rPr>
          <w:rFonts w:ascii="Arial" w:cs="Arial" w:eastAsia="Arial" w:hAnsi="Arial"/>
          <w:b/>
          <w:bCs/>
          <w:sz w:val="28"/>
          <w:szCs w:val="28"/>
        </w:rPr>
        <w:t xml:space="preserve">ПРАВИЛА 
 создания и/или приобретения дочерних или зависимых компаний коммерческими банками Кыргызской Республики</w:t>
      </w:r>
    </w:p>
    <w:p>
      <w:pPr>
        <w:spacing w:after="120"/>
        <w:jc w:val="center"/>
      </w:pPr>
      <w:r>
        <w:rPr>
          <w:rFonts w:ascii="Arial" w:cs="Arial" w:eastAsia="Arial" w:hAnsi="Arial"/>
          <w:i/>
          <w:iCs/>
          <w:sz w:val="24"/>
          <w:szCs w:val="24"/>
        </w:rPr>
        <w:t xml:space="preserve">(В редакции постановлений Правления Нацбанка КР от </w:t>
      </w:r>
    </w:p>
    <w:p>
      <w:pPr>
        <w:spacing w:after="120"/>
        <w:jc w:val="center"/>
      </w:pPr>
      <w:hyperlink w:history="1" r:id="rIdafsee-eenrnqwktwedb9h">
        <w:r>
          <w:rPr>
            <w:rFonts w:ascii="Arial" w:cs="Arial" w:eastAsia="Arial" w:hAnsi="Arial"/>
            <w:i/>
            <w:iCs/>
            <w:color w:val="1D4ED8"/>
            <w:sz w:val="24"/>
            <w:szCs w:val="24"/>
            <w:u w:val="single"/>
          </w:rPr>
          <w:t xml:space="preserve">17 февраля 2010 года № 2/3</w:t>
        </w:r>
      </w:hyperlink>
      <w:r>
        <w:rPr>
          <w:rFonts w:ascii="Arial" w:cs="Arial" w:eastAsia="Arial" w:hAnsi="Arial"/>
          <w:i/>
          <w:iCs/>
          <w:sz w:val="24"/>
          <w:szCs w:val="24"/>
        </w:rPr>
        <w:t xml:space="preserve">, </w:t>
      </w:r>
      <w:hyperlink w:history="1" r:id="rIdqkndzslemkewmmysj0ueo">
        <w:r>
          <w:rPr>
            <w:rFonts w:ascii="Arial" w:cs="Arial" w:eastAsia="Arial" w:hAnsi="Arial"/>
            <w:i/>
            <w:iCs/>
            <w:color w:val="1D4ED8"/>
            <w:sz w:val="24"/>
            <w:szCs w:val="24"/>
            <w:u w:val="single"/>
          </w:rPr>
          <w:t xml:space="preserve">16 ноября 2012 года № 43/1</w:t>
        </w:r>
      </w:hyperlink>
      <w:r>
        <w:rPr>
          <w:rFonts w:ascii="Arial" w:cs="Arial" w:eastAsia="Arial" w:hAnsi="Arial"/>
          <w:i/>
          <w:iCs/>
          <w:sz w:val="24"/>
          <w:szCs w:val="24"/>
        </w:rPr>
        <w:t xml:space="preserve">, </w:t>
      </w:r>
      <w:hyperlink w:history="1" r:id="rIdw-ip5e2colcdhpwrxqh8h">
        <w:r>
          <w:rPr>
            <w:rFonts w:ascii="Arial" w:cs="Arial" w:eastAsia="Arial" w:hAnsi="Arial"/>
            <w:i/>
            <w:iCs/>
            <w:color w:val="1D4ED8"/>
            <w:sz w:val="24"/>
            <w:szCs w:val="24"/>
            <w:u w:val="single"/>
          </w:rPr>
          <w:t xml:space="preserve">15 июня 2017 года № 2017-П-12/25-5</w:t>
        </w:r>
      </w:hyperlink>
      <w:r>
        <w:rPr>
          <w:rFonts w:ascii="Arial" w:cs="Arial" w:eastAsia="Arial" w:hAnsi="Arial"/>
          <w:i/>
          <w:iCs/>
          <w:sz w:val="24"/>
          <w:szCs w:val="24"/>
        </w:rPr>
        <w:t xml:space="preserve">, </w:t>
      </w:r>
      <w:r>
        <w:rPr>
          <w:rFonts w:ascii="Arial" w:cs="Arial" w:eastAsia="Arial" w:hAnsi="Arial"/>
          <w:i/>
          <w:iCs/>
          <w:sz w:val="24"/>
          <w:szCs w:val="24"/>
        </w:rPr>
        <w:t xml:space="preserve">24 марта 2020 года № 2020-П-12/15-5</w:t>
      </w:r>
      <w:r>
        <w:rPr>
          <w:rFonts w:ascii="Arial" w:cs="Arial" w:eastAsia="Arial" w:hAnsi="Arial"/>
          <w:i/>
          <w:iCs/>
          <w:sz w:val="24"/>
          <w:szCs w:val="24"/>
        </w:rPr>
        <w:t xml:space="preserve">, </w:t>
      </w:r>
      <w:r>
        <w:rPr>
          <w:rFonts w:ascii="Arial" w:cs="Arial" w:eastAsia="Arial" w:hAnsi="Arial"/>
          <w:i/>
          <w:iCs/>
          <w:sz w:val="24"/>
          <w:szCs w:val="24"/>
        </w:rPr>
        <w:t xml:space="preserve">15 сентября 2021 года № 2021-П-12/51-1</w:t>
      </w:r>
      <w:r>
        <w:rPr>
          <w:rFonts w:ascii="Arial" w:cs="Arial" w:eastAsia="Arial" w:hAnsi="Arial"/>
          <w:i/>
          <w:iCs/>
          <w:sz w:val="24"/>
          <w:szCs w:val="24"/>
        </w:rPr>
        <w:t xml:space="preserve">, </w:t>
      </w:r>
      <w:hyperlink w:history="1" r:id="rIdia0a8gsmjtiotqedgjjp7">
        <w:r>
          <w:rPr>
            <w:rFonts w:ascii="Arial" w:cs="Arial" w:eastAsia="Arial" w:hAnsi="Arial"/>
            <w:i/>
            <w:iCs/>
            <w:color w:val="1D4ED8"/>
            <w:sz w:val="24"/>
            <w:szCs w:val="24"/>
            <w:u w:val="single"/>
          </w:rPr>
          <w:t xml:space="preserve">28 декабря 2022 года № 2022-П-12/83-8</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Общие положения</w:t>
      </w:r>
    </w:p>
    <w:p>
      <w:pPr>
        <w:spacing w:after="120"/>
        <w:ind w:firstLine="397"/>
        <w:jc w:val="both"/>
      </w:pPr>
      <w:r>
        <w:rPr>
          <w:rFonts w:ascii="Arial" w:cs="Arial" w:eastAsia="Arial" w:hAnsi="Arial"/>
          <w:sz w:val="24"/>
          <w:szCs w:val="24"/>
        </w:rPr>
        <w:t xml:space="preserve">2. Критерии, предъявляемые к дочерним или зависимым компаниям банка</w:t>
      </w:r>
    </w:p>
    <w:p>
      <w:pPr>
        <w:spacing w:after="120"/>
        <w:ind w:firstLine="397"/>
        <w:jc w:val="both"/>
      </w:pPr>
      <w:r>
        <w:rPr>
          <w:rFonts w:ascii="Arial" w:cs="Arial" w:eastAsia="Arial" w:hAnsi="Arial"/>
          <w:sz w:val="24"/>
          <w:szCs w:val="24"/>
        </w:rPr>
        <w:t xml:space="preserve">3. Создание и/или приобретение банком дочерней или зависимой компании</w:t>
      </w:r>
    </w:p>
    <w:p>
      <w:pPr>
        <w:spacing w:after="120"/>
        <w:ind w:firstLine="397"/>
        <w:jc w:val="both"/>
      </w:pPr>
      <w:r>
        <w:rPr>
          <w:rFonts w:ascii="Arial" w:cs="Arial" w:eastAsia="Arial" w:hAnsi="Arial"/>
          <w:sz w:val="24"/>
          <w:szCs w:val="24"/>
        </w:rPr>
        <w:t xml:space="preserve">4. Порядок рассмотрения документов, представленных банком для получения разрешения на создание и/или приобретение дочерних или зависимых компаний</w:t>
      </w:r>
    </w:p>
    <w:p>
      <w:pPr>
        <w:spacing w:after="120"/>
        <w:ind w:firstLine="397"/>
        <w:jc w:val="both"/>
      </w:pPr>
      <w:r>
        <w:rPr>
          <w:rFonts w:ascii="Arial" w:cs="Arial" w:eastAsia="Arial" w:hAnsi="Arial"/>
          <w:sz w:val="24"/>
          <w:szCs w:val="24"/>
        </w:rPr>
        <w:t xml:space="preserve">5. Отказ в предоставлении разрешения на создание и/или приобретение банком дочерней или зависимой компании</w:t>
      </w:r>
    </w:p>
    <w:p>
      <w:pPr>
        <w:spacing w:after="120"/>
        <w:ind w:firstLine="397"/>
        <w:jc w:val="both"/>
      </w:pPr>
      <w:r>
        <w:rPr>
          <w:rFonts w:ascii="Arial" w:cs="Arial" w:eastAsia="Arial" w:hAnsi="Arial"/>
          <w:sz w:val="24"/>
          <w:szCs w:val="24"/>
        </w:rPr>
        <w:t xml:space="preserve">6. Порядок применения мер воздействия к банкам, имеющим дочерние или зависимые компании, и к дочерним или зависимым компаниям</w:t>
      </w:r>
    </w:p>
    <w:p>
      <w:pPr>
        <w:spacing w:after="120"/>
        <w:ind w:firstLine="397"/>
        <w:jc w:val="both"/>
      </w:pPr>
      <w:r>
        <w:rPr>
          <w:rFonts w:ascii="Arial" w:cs="Arial" w:eastAsia="Arial" w:hAnsi="Arial"/>
          <w:sz w:val="24"/>
          <w:szCs w:val="24"/>
        </w:rPr>
        <w:t xml:space="preserve">7. Ликвидация дочерней или зависимой компании банка</w:t>
      </w:r>
    </w:p>
    <w:p>
      <w:pPr>
        <w:spacing w:after="120"/>
        <w:ind w:firstLine="397"/>
        <w:jc w:val="both"/>
      </w:pPr>
      <w:r>
        <w:rPr>
          <w:rFonts w:ascii="Arial" w:cs="Arial" w:eastAsia="Arial" w:hAnsi="Arial"/>
          <w:sz w:val="24"/>
          <w:szCs w:val="24"/>
        </w:rPr>
        <w:t xml:space="preserve">8. Сведения и отчетность, представляемые банком в Национальный банк</w:t>
      </w:r>
    </w:p>
    <w:p>
      <w:pPr>
        <w:spacing w:after="120"/>
        <w:ind w:firstLine="397"/>
        <w:jc w:val="both"/>
      </w:pPr>
      <w:r>
        <w:rPr>
          <w:rFonts w:ascii="Arial" w:cs="Arial" w:eastAsia="Arial" w:hAnsi="Arial"/>
          <w:sz w:val="24"/>
          <w:szCs w:val="24"/>
        </w:rPr>
        <w:t xml:space="preserve">Приложение 1. Заявление на создание и/или приобретение дочерней и/или зависимой компании</w:t>
      </w:r>
    </w:p>
    <w:p>
      <w:pPr>
        <w:spacing w:after="120"/>
        <w:ind w:firstLine="397"/>
        <w:jc w:val="both"/>
      </w:pPr>
      <w:r>
        <w:rPr>
          <w:rFonts w:ascii="Arial" w:cs="Arial" w:eastAsia="Arial" w:hAnsi="Arial"/>
          <w:sz w:val="24"/>
          <w:szCs w:val="24"/>
        </w:rPr>
        <w:t xml:space="preserve">Приложение 2. База данных дочерних компаний банка</w:t>
      </w:r>
    </w:p>
    <w:p>
      <w:pPr>
        <w:spacing w:after="120"/>
        <w:ind w:firstLine="397"/>
        <w:jc w:val="both"/>
      </w:pPr>
      <w:r>
        <w:rPr>
          <w:rFonts w:ascii="Arial" w:cs="Arial" w:eastAsia="Arial" w:hAnsi="Arial"/>
          <w:sz w:val="24"/>
          <w:szCs w:val="24"/>
        </w:rPr>
        <w:t xml:space="preserve">Приложение 3. База данных зависимых компаний банка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ind w:firstLine="39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1.1. Настоящие Правила создания и/или приобретения дочерних или зависимых компаний коммерческими банками Кыргызской Республики распространяются на все коммерческие банки, в том числе банки, осуществляющие операции в соответствии с исламскими принципами банковского дела и финансирования (далее - банки), и Государственный банк развития Кыргызской Республики с учетом особенностей, предусмотренных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Государственном банке развития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марта 2020 года № 2020-П-12/15-5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Настоящие Правила устанавливают порядок создания и/или приобретения банком дочерней или зависимой компании, не являющейся банком</w:t>
      </w:r>
      <w:r>
        <w:rPr>
          <w:rFonts w:ascii="Arial" w:cs="Arial" w:eastAsia="Arial" w:hAnsi="Arial"/>
          <w:sz w:val="24"/>
          <w:szCs w:val="24"/>
        </w:rPr>
        <w:t xml:space="preserve">(1)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1.3. Создание или приобретение банком дочерней или зависимой компании осуществляется на основании письменного разрешения Национального банка Кыргызской Республики (далее - Национальный банк).</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g7um5ycqza05dc49aoe_7">
        <w:r>
          <w:rPr>
            <w:rFonts w:ascii="Arial" w:cs="Arial" w:eastAsia="Arial" w:hAnsi="Arial"/>
            <w:i/>
            <w:iCs/>
            <w:color w:val="1D4ED8"/>
            <w:sz w:val="24"/>
            <w:szCs w:val="24"/>
            <w:u w:val="single"/>
          </w:rPr>
          <w:t xml:space="preserve">15 июня 2017 года № 2017-П-12/25-5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1.4. Банки не вправе создавать и/или приобретать дочерние или зависимые компании, если:</w:t>
      </w:r>
    </w:p>
    <w:p>
      <w:pPr>
        <w:spacing w:after="120"/>
        <w:jc w:val="both"/>
      </w:pPr>
      <w:r>
        <w:rPr>
          <w:rFonts w:ascii="Arial" w:cs="Arial" w:eastAsia="Arial" w:hAnsi="Arial"/>
          <w:sz w:val="24"/>
          <w:szCs w:val="24"/>
        </w:rPr>
        <w:t xml:space="preserve">1) регистрация и/или осуществление деятельности таких компаний предполагается в оффшорных зонах, перечень которых определяется уполномоченным государственным органом Кыргызской Республики в сфере противодействия финансированию террористической деятельности и легализации (отмыванию) преступных доходов, а также в государствах и на территориях, в отношении которых имеются международные санкции, принятые Советом безопасности ООН, обязательные для Кыргызской Республики;</w:t>
      </w:r>
    </w:p>
    <w:p>
      <w:pPr>
        <w:spacing w:after="120"/>
        <w:jc w:val="both"/>
      </w:pPr>
      <w:r>
        <w:rPr>
          <w:rFonts w:ascii="Arial" w:cs="Arial" w:eastAsia="Arial" w:hAnsi="Arial"/>
          <w:sz w:val="24"/>
          <w:szCs w:val="24"/>
        </w:rPr>
        <w:t xml:space="preserve">2) такие компании зарегистрированы и/или осуществляют свою деятельность в оффшорных зонах, а также в государствах и на территориях, в отношении которых имеются международные санкции, принятые Советом безопасности ООН, обязательные для Кыргызской Республики;</w:t>
      </w:r>
    </w:p>
    <w:p>
      <w:pPr>
        <w:spacing w:after="120"/>
        <w:jc w:val="both"/>
      </w:pPr>
      <w:r>
        <w:rPr>
          <w:rFonts w:ascii="Arial" w:cs="Arial" w:eastAsia="Arial" w:hAnsi="Arial"/>
          <w:sz w:val="24"/>
          <w:szCs w:val="24"/>
        </w:rPr>
        <w:t xml:space="preserve">3) такие компании имеют в качестве участников/соучредителей юридических лиц, зарегистрированных или находящихся на территории оффшорных зон, а также в государствах и на территориях, в отношении которых имеются международные санкции, принятые Советом безопасности ООН, обязательные для Кыргызской Республики;</w:t>
      </w:r>
    </w:p>
    <w:p>
      <w:pPr>
        <w:spacing w:after="120"/>
        <w:jc w:val="both"/>
      </w:pPr>
      <w:r>
        <w:rPr>
          <w:rFonts w:ascii="Arial" w:cs="Arial" w:eastAsia="Arial" w:hAnsi="Arial"/>
          <w:sz w:val="24"/>
          <w:szCs w:val="24"/>
        </w:rPr>
        <w:t xml:space="preserve">4) участники/соучредители таких компаний являются участниками/соучредителями юридических лиц, зарегистрированных в оффшорных зонах, а также в государствах и на территориях, в отношении которых имеются международные санкции, принятые Советом безопасности ООН, обязательные для Кыргызской Республики;</w:t>
      </w:r>
    </w:p>
    <w:p>
      <w:pPr>
        <w:spacing w:after="120"/>
        <w:jc w:val="both"/>
      </w:pPr>
      <w:r>
        <w:rPr>
          <w:rFonts w:ascii="Arial" w:cs="Arial" w:eastAsia="Arial" w:hAnsi="Arial"/>
          <w:sz w:val="24"/>
          <w:szCs w:val="24"/>
        </w:rPr>
        <w:t xml:space="preserve">5) участниками компании являются лица, для которых установлены ограничения </w:t>
      </w:r>
      <w:hyperlink w:history="1" r:id="rIdvfp7qzime20obhw90tybo">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банках и банковской деятельности".</w:t>
      </w:r>
    </w:p>
    <w:p>
      <w:pPr>
        <w:spacing w:after="60"/>
        <w:ind w:firstLine="567"/>
        <w:jc w:val="both"/>
      </w:pPr>
      <w:r>
        <w:rPr>
          <w:rFonts w:ascii="Arial" w:cs="Arial" w:eastAsia="Arial" w:hAnsi="Arial"/>
          <w:i/>
          <w:iCs/>
          <w:sz w:val="24"/>
          <w:szCs w:val="24"/>
        </w:rPr>
        <w:t xml:space="preserve"> (В редакции постановления Правления Нацбанка КР от </w:t>
      </w:r>
      <w:hyperlink w:history="1" r:id="rId1ctejoj0vcmyilyqbqkuc">
        <w:r>
          <w:rPr>
            <w:rFonts w:ascii="Arial" w:cs="Arial" w:eastAsia="Arial" w:hAnsi="Arial"/>
            <w:i/>
            <w:iCs/>
            <w:color w:val="1D4ED8"/>
            <w:sz w:val="24"/>
            <w:szCs w:val="24"/>
            <w:u w:val="single"/>
          </w:rPr>
          <w:t xml:space="preserve">15 июня 2017 года № 2017-П-12/25-5</w:t>
        </w:r>
      </w:hyperlink>
      <w:r>
        <w:rPr>
          <w:rFonts w:ascii="Arial" w:cs="Arial" w:eastAsia="Arial" w:hAnsi="Arial"/>
          <w:i/>
          <w:iCs/>
          <w:sz w:val="24"/>
          <w:szCs w:val="24"/>
        </w:rPr>
        <w:t xml:space="preserve">, </w:t>
      </w:r>
      <w:r>
        <w:rPr>
          <w:rFonts w:ascii="Arial" w:cs="Arial" w:eastAsia="Arial" w:hAnsi="Arial"/>
          <w:sz w:val="24"/>
          <w:szCs w:val="24"/>
        </w:rPr>
        <w:t xml:space="preserve">15 сентября 2021 года № 2021-П-12/51-1</w:t>
      </w:r>
      <w:r>
        <w:rPr>
          <w:rFonts w:ascii="Arial" w:cs="Arial" w:eastAsia="Arial" w:hAnsi="Arial"/>
          <w:sz w:val="24"/>
          <w:szCs w:val="24"/>
        </w:rPr>
        <w:t xml:space="preserve">, </w:t>
      </w:r>
      <w:hyperlink w:history="1" r:id="rIdocamcddnvh1wvoudvzl0f">
        <w:r>
          <w:rPr>
            <w:rFonts w:ascii="Arial" w:cs="Arial" w:eastAsia="Arial" w:hAnsi="Arial"/>
            <w:i/>
            <w:iCs/>
            <w:color w:val="1D4ED8"/>
            <w:sz w:val="24"/>
            <w:szCs w:val="24"/>
            <w:u w:val="single"/>
          </w:rPr>
          <w:t xml:space="preserve">28 декабря 2022 года № 2022-П-12/83-8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1.5. Размер любых инвестиций, включая любые финансовые вложения и кредиты в каждую небанковскую организацию, в том числе при создании и/или приобретении дочерней или зависимой компании, должен составлять менее пятнадцати процентов собственного (регулятивного) капитала банка. При этом общий размер таких инвестиций не может превышать шестидесяти процентов собственного (регулятивного) капитала банка. В целях настоящих Правил под собственным (регулятивным) капиталом банка подразумевается чистый суммарный капитал, который рассчитывается в соответствии с Инструкцией по определению стандартов достаточности (адекватности) капитала коммерческих банков Кыргызской Республики.</w:t>
      </w:r>
    </w:p>
    <w:p>
      <w:pPr>
        <w:spacing w:after="120"/>
        <w:jc w:val="both"/>
      </w:pPr>
      <w:r>
        <w:rPr>
          <w:rFonts w:ascii="Arial" w:cs="Arial" w:eastAsia="Arial" w:hAnsi="Arial"/>
          <w:sz w:val="24"/>
          <w:szCs w:val="24"/>
        </w:rPr>
        <w:t xml:space="preserve">Примечание: Требования и ограничения при осуществлении инвестиций установлены в соответствии со </w:t>
      </w:r>
      <w:hyperlink w:history="1" r:id="rIdj-80_urqlbxgk4u1kxari">
        <w:r>
          <w:rPr>
            <w:rFonts w:ascii="Arial" w:cs="Arial" w:eastAsia="Arial" w:hAnsi="Arial"/>
            <w:color w:val="1D4ED8"/>
            <w:sz w:val="24"/>
            <w:szCs w:val="24"/>
            <w:u w:val="single"/>
          </w:rPr>
          <w:t xml:space="preserve">статьей 50</w:t>
        </w:r>
      </w:hyperlink>
      <w:r>
        <w:rPr>
          <w:rFonts w:ascii="Arial" w:cs="Arial" w:eastAsia="Arial" w:hAnsi="Arial"/>
          <w:sz w:val="24"/>
          <w:szCs w:val="24"/>
        </w:rPr>
        <w:t xml:space="preserve"> Закона Кыргызской Республики "О банках и банковской деятельности".</w:t>
      </w:r>
    </w:p>
    <w:p>
      <w:pPr>
        <w:spacing w:after="60"/>
        <w:ind w:firstLine="567"/>
        <w:jc w:val="both"/>
      </w:pPr>
      <w:r>
        <w:rPr>
          <w:rFonts w:ascii="Arial" w:cs="Arial" w:eastAsia="Arial" w:hAnsi="Arial"/>
          <w:i/>
          <w:iCs/>
          <w:sz w:val="24"/>
          <w:szCs w:val="24"/>
        </w:rPr>
        <w:t xml:space="preserve"> (В редакции постановления Правления Нацбанка КР от </w:t>
      </w:r>
      <w:hyperlink w:history="1" r:id="rIdd2ytuq7zfkrxtlxrvzb0q">
        <w:r>
          <w:rPr>
            <w:rFonts w:ascii="Arial" w:cs="Arial" w:eastAsia="Arial" w:hAnsi="Arial"/>
            <w:i/>
            <w:iCs/>
            <w:color w:val="1D4ED8"/>
            <w:sz w:val="24"/>
            <w:szCs w:val="24"/>
            <w:u w:val="single"/>
          </w:rPr>
          <w:t xml:space="preserve">15 июня 2017 года № 2017-П-12/25-5</w:t>
        </w:r>
      </w:hyperlink>
      <w:r>
        <w:rPr>
          <w:rFonts w:ascii="Arial" w:cs="Arial" w:eastAsia="Arial" w:hAnsi="Arial"/>
          <w:i/>
          <w:iCs/>
          <w:sz w:val="24"/>
          <w:szCs w:val="24"/>
        </w:rPr>
        <w:t xml:space="preserve">, </w:t>
      </w:r>
      <w:hyperlink w:history="1" r:id="rIdhcmxsxed_zussr1xrrr48">
        <w:r>
          <w:rPr>
            <w:rFonts w:ascii="Arial" w:cs="Arial" w:eastAsia="Arial" w:hAnsi="Arial"/>
            <w:i/>
            <w:iCs/>
            <w:color w:val="1D4ED8"/>
            <w:sz w:val="24"/>
            <w:szCs w:val="24"/>
            <w:u w:val="single"/>
          </w:rPr>
          <w:t xml:space="preserve">28 декабря 2022 года № 2022-П-12/83-8</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1.6. (Утратил силу в соответствии с </w:t>
      </w:r>
      <w:hyperlink w:history="1" r:id="rIdwwssgeydpllrao51xbud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Правления Нацбанка КР от 15 июня 2017 года № 2017-П-12/25-5)</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Критерии, предъявляемые к дочерним или зависимым компаниям банка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2.1. Дочерние или зависимые компании банка, не являющиеся банком, могут осуществлять только следующие виды деятельности:</w:t>
      </w:r>
    </w:p>
    <w:p>
      <w:pPr>
        <w:spacing w:after="120"/>
        <w:ind w:firstLine="397"/>
        <w:jc w:val="both"/>
      </w:pPr>
      <w:r>
        <w:rPr>
          <w:rFonts w:ascii="Arial" w:cs="Arial" w:eastAsia="Arial" w:hAnsi="Arial"/>
          <w:sz w:val="24"/>
          <w:szCs w:val="24"/>
        </w:rPr>
        <w:t xml:space="preserve">  1) микрофинансовая деятельность в соответствии с </w:t>
      </w:r>
      <w:hyperlink w:history="1" r:id="rIdcqu1pmyscgfqu_jv6lwn0">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микрофинансовых организациях в Кыргызской Республике";</w:t>
      </w:r>
    </w:p>
    <w:p>
      <w:pPr>
        <w:spacing w:after="120"/>
        <w:ind w:firstLine="397"/>
        <w:jc w:val="both"/>
      </w:pPr>
      <w:r>
        <w:rPr>
          <w:rFonts w:ascii="Arial" w:cs="Arial" w:eastAsia="Arial" w:hAnsi="Arial"/>
          <w:sz w:val="24"/>
          <w:szCs w:val="24"/>
        </w:rPr>
        <w:t xml:space="preserve">  2) деятельность инвестиционных фондов в соответствии с </w:t>
      </w:r>
      <w:hyperlink w:history="1" r:id="rIddc0ekmxrpsocidjmkmon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инвестиционных фондах";</w:t>
      </w:r>
    </w:p>
    <w:p>
      <w:pPr>
        <w:spacing w:after="120"/>
        <w:ind w:firstLine="397"/>
        <w:jc w:val="both"/>
      </w:pPr>
      <w:r>
        <w:rPr>
          <w:rFonts w:ascii="Arial" w:cs="Arial" w:eastAsia="Arial" w:hAnsi="Arial"/>
          <w:sz w:val="24"/>
          <w:szCs w:val="24"/>
        </w:rPr>
        <w:t xml:space="preserve">  3) страховая деятельность в соответствии с </w:t>
      </w:r>
      <w:hyperlink w:history="1" r:id="rIdkyvldyiewrcxhi-kdvew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организации страхования в Кыргызской Республике";</w:t>
      </w:r>
    </w:p>
    <w:p>
      <w:pPr>
        <w:spacing w:after="120"/>
        <w:ind w:firstLine="397"/>
        <w:jc w:val="both"/>
      </w:pPr>
      <w:r>
        <w:rPr>
          <w:rFonts w:ascii="Arial" w:cs="Arial" w:eastAsia="Arial" w:hAnsi="Arial"/>
          <w:sz w:val="24"/>
          <w:szCs w:val="24"/>
        </w:rPr>
        <w:t xml:space="preserve">  4) аудиторская деятельность в соответствии с </w:t>
      </w:r>
      <w:hyperlink w:history="1" r:id="rIdhk2rxee-axxd_8e76r7j4">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аудиторской деятельности";</w:t>
      </w:r>
    </w:p>
    <w:p>
      <w:pPr>
        <w:spacing w:after="120"/>
        <w:ind w:firstLine="397"/>
        <w:jc w:val="both"/>
      </w:pPr>
      <w:r>
        <w:rPr>
          <w:rFonts w:ascii="Arial" w:cs="Arial" w:eastAsia="Arial" w:hAnsi="Arial"/>
          <w:sz w:val="24"/>
          <w:szCs w:val="24"/>
        </w:rPr>
        <w:t xml:space="preserve">  5) деятельность по организации и ведению бухгалтерского учета в соответствии с </w:t>
      </w:r>
      <w:hyperlink w:history="1" r:id="rIdqpd2a-tbrpb1ihtamm3s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бухгалтерском учете";</w:t>
      </w:r>
    </w:p>
    <w:p>
      <w:pPr>
        <w:spacing w:after="60"/>
        <w:ind w:firstLine="397"/>
        <w:jc w:val="both"/>
      </w:pPr>
      <w:r>
        <w:rPr>
          <w:rFonts w:ascii="Arial" w:cs="Arial" w:eastAsia="Arial" w:hAnsi="Arial"/>
          <w:sz w:val="24"/>
          <w:szCs w:val="24"/>
        </w:rPr>
        <w:t xml:space="preserve">  6) лизинговая деятельность;</w:t>
      </w:r>
    </w:p>
    <w:p>
      <w:pPr>
        <w:spacing w:after="60"/>
        <w:ind w:firstLine="567"/>
        <w:jc w:val="both"/>
      </w:pPr>
      <w:r>
        <w:rPr>
          <w:rFonts w:ascii="Arial" w:cs="Arial" w:eastAsia="Arial" w:hAnsi="Arial"/>
          <w:sz w:val="24"/>
          <w:szCs w:val="24"/>
        </w:rPr>
        <w:t xml:space="preserve">7) деятельность ломбардов;</w:t>
      </w:r>
    </w:p>
    <w:p>
      <w:pPr>
        <w:spacing w:after="60"/>
        <w:ind w:firstLine="567"/>
        <w:jc w:val="both"/>
      </w:pPr>
      <w:r>
        <w:rPr>
          <w:rFonts w:ascii="Arial" w:cs="Arial" w:eastAsia="Arial" w:hAnsi="Arial"/>
          <w:sz w:val="24"/>
          <w:szCs w:val="24"/>
        </w:rPr>
        <w:t xml:space="preserve">8) деятельность по оказанию платежных услуг:</w:t>
      </w:r>
    </w:p>
    <w:p>
      <w:pPr>
        <w:spacing w:after="60"/>
        <w:ind w:firstLine="567"/>
        <w:jc w:val="both"/>
      </w:pPr>
      <w:r>
        <w:rPr>
          <w:rFonts w:ascii="Arial" w:cs="Arial" w:eastAsia="Arial" w:hAnsi="Arial"/>
          <w:sz w:val="24"/>
          <w:szCs w:val="24"/>
        </w:rPr>
        <w:t xml:space="preserve">- прием и проведение платежей и расчетов в пользу третьих лиц без открытия счета;</w:t>
      </w:r>
    </w:p>
    <w:p>
      <w:pPr>
        <w:spacing w:after="60"/>
        <w:ind w:firstLine="567"/>
        <w:jc w:val="both"/>
      </w:pPr>
      <w:r>
        <w:rPr>
          <w:rFonts w:ascii="Arial" w:cs="Arial" w:eastAsia="Arial" w:hAnsi="Arial"/>
          <w:sz w:val="24"/>
          <w:szCs w:val="24"/>
        </w:rPr>
        <w:t xml:space="preserve">- прием, обработка и выдача финансовой информации (процессинг) по платежам и расчетам третьих лиц участникам платежных систем;</w:t>
      </w:r>
    </w:p>
    <w:p>
      <w:pPr>
        <w:spacing w:after="60"/>
        <w:ind w:firstLine="567"/>
        <w:jc w:val="both"/>
      </w:pPr>
      <w:r>
        <w:rPr>
          <w:rFonts w:ascii="Arial" w:cs="Arial" w:eastAsia="Arial" w:hAnsi="Arial"/>
          <w:sz w:val="24"/>
          <w:szCs w:val="24"/>
        </w:rPr>
        <w:t xml:space="preserve">- прием, обработка и выдача финансовой информации (межбанковский процессинг) по платежам и расчетам третьих лиц участникам как межбанковских, так и небанковских платежных систем;</w:t>
      </w:r>
    </w:p>
    <w:p>
      <w:pPr>
        <w:spacing w:after="60"/>
        <w:ind w:firstLine="567"/>
        <w:jc w:val="both"/>
      </w:pPr>
      <w:r>
        <w:rPr>
          <w:rFonts w:ascii="Arial" w:cs="Arial" w:eastAsia="Arial" w:hAnsi="Arial"/>
          <w:sz w:val="24"/>
          <w:szCs w:val="24"/>
        </w:rPr>
        <w:t xml:space="preserve">- выпуск, распространение, прием к оплате и подтверждение предоплаченных карт в эквиваленте электронных денег;</w:t>
      </w:r>
    </w:p>
    <w:p>
      <w:pPr>
        <w:spacing w:after="60"/>
        <w:ind w:firstLine="567"/>
        <w:jc w:val="both"/>
      </w:pPr>
      <w:r>
        <w:rPr>
          <w:rFonts w:ascii="Arial" w:cs="Arial" w:eastAsia="Arial" w:hAnsi="Arial"/>
          <w:sz w:val="24"/>
          <w:szCs w:val="24"/>
        </w:rPr>
        <w:t xml:space="preserve">9) покупка и продажа долговых обязательств (факторинг);</w:t>
      </w:r>
    </w:p>
    <w:p>
      <w:pPr>
        <w:spacing w:after="60"/>
        <w:ind w:firstLine="567"/>
        <w:jc w:val="both"/>
      </w:pPr>
      <w:r>
        <w:rPr>
          <w:rFonts w:ascii="Arial" w:cs="Arial" w:eastAsia="Arial" w:hAnsi="Arial"/>
          <w:sz w:val="24"/>
          <w:szCs w:val="24"/>
        </w:rPr>
        <w:t xml:space="preserve">10) приобретение права требования от третьих лиц исполнения обязательств в денежной форме;</w:t>
      </w:r>
    </w:p>
    <w:p>
      <w:pPr>
        <w:spacing w:after="60"/>
        <w:ind w:firstLine="567"/>
        <w:jc w:val="both"/>
      </w:pPr>
      <w:r>
        <w:rPr>
          <w:rFonts w:ascii="Arial" w:cs="Arial" w:eastAsia="Arial" w:hAnsi="Arial"/>
          <w:sz w:val="24"/>
          <w:szCs w:val="24"/>
        </w:rPr>
        <w:t xml:space="preserve">11) осуществление брокерских услуг, включая покупку и продажу ценных бумаг по поручению клиента, действуя по инструкциям клиента;</w:t>
      </w:r>
    </w:p>
    <w:p>
      <w:pPr>
        <w:spacing w:after="60"/>
        <w:ind w:firstLine="567"/>
        <w:jc w:val="both"/>
      </w:pPr>
      <w:r>
        <w:rPr>
          <w:rFonts w:ascii="Arial" w:cs="Arial" w:eastAsia="Arial" w:hAnsi="Arial"/>
          <w:sz w:val="24"/>
          <w:szCs w:val="24"/>
        </w:rPr>
        <w:t xml:space="preserve">12) осуществление доверительного управления (траст) имуществом по договору с физическим или юридическим лицом;</w:t>
      </w:r>
    </w:p>
    <w:p>
      <w:pPr>
        <w:spacing w:after="60"/>
        <w:ind w:firstLine="567"/>
        <w:jc w:val="both"/>
      </w:pPr>
      <w:r>
        <w:rPr>
          <w:rFonts w:ascii="Arial" w:cs="Arial" w:eastAsia="Arial" w:hAnsi="Arial"/>
          <w:sz w:val="24"/>
          <w:szCs w:val="24"/>
        </w:rPr>
        <w:t xml:space="preserve">13) выпуск от своего имени ценных бумаг в соответствии с нормативными правовыми актами, за исключением выпуска долговых ценных бумаг;</w:t>
      </w:r>
    </w:p>
    <w:p>
      <w:pPr>
        <w:spacing w:after="60"/>
        <w:ind w:firstLine="567"/>
        <w:jc w:val="both"/>
      </w:pPr>
      <w:r>
        <w:rPr>
          <w:rFonts w:ascii="Arial" w:cs="Arial" w:eastAsia="Arial" w:hAnsi="Arial"/>
          <w:sz w:val="24"/>
          <w:szCs w:val="24"/>
        </w:rPr>
        <w:t xml:space="preserve">14) покупка и продажа ценных бумаг для компании от своего имени в соответствии с нормативными правовыми актами;</w:t>
      </w:r>
    </w:p>
    <w:p>
      <w:pPr>
        <w:spacing w:after="60"/>
        <w:ind w:firstLine="567"/>
        <w:jc w:val="both"/>
      </w:pPr>
      <w:r>
        <w:rPr>
          <w:rFonts w:ascii="Arial" w:cs="Arial" w:eastAsia="Arial" w:hAnsi="Arial"/>
          <w:sz w:val="24"/>
          <w:szCs w:val="24"/>
        </w:rPr>
        <w:t xml:space="preserve">15) оказание консультационных и информационных услуг, связанных с деятельностью компании.</w:t>
      </w:r>
    </w:p>
    <w:p>
      <w:pPr>
        <w:spacing w:after="60"/>
        <w:ind w:firstLine="567"/>
        <w:jc w:val="both"/>
      </w:pPr>
      <w:r>
        <w:rPr>
          <w:rFonts w:ascii="Arial" w:cs="Arial" w:eastAsia="Arial" w:hAnsi="Arial"/>
          <w:sz w:val="24"/>
          <w:szCs w:val="24"/>
        </w:rPr>
        <w:t xml:space="preserve">Дочерние и зависимые компании банка вправе осуществлять иные сделки, необходимые для обеспечения их деятельности в соответствии с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2.1-1. Банк, осуществляющий операции в соответствии с исламскими принципами банковского дела и финансирования, вправе создать исламскую специальную финансовую компанию для выпуска исламских ценных бумаг.</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марта 2020 года № 2020-П-12/15-5</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Дочерняя компания дочерней компании банка может осуществлять только виды деятельности, указанные в пункте 2.1. настоящих Правил.</w:t>
      </w:r>
    </w:p>
    <w:p>
      <w:pPr>
        <w:spacing w:after="60"/>
        <w:ind w:firstLine="567"/>
        <w:jc w:val="both"/>
      </w:pPr>
      <w:r>
        <w:rPr>
          <w:rFonts w:ascii="Arial" w:cs="Arial" w:eastAsia="Arial" w:hAnsi="Arial"/>
          <w:sz w:val="24"/>
          <w:szCs w:val="24"/>
        </w:rPr>
        <w:t xml:space="preserve">2.3. Виды деятельности, подлежащие лицензированию в соответствии с нормативными правовыми актами республики, осуществляются дочерними или зависимыми компаниями банка, а также дочерними компаниями дочерней компании банка на основании лицензии соответствующего уполномоченного государственного органа.</w:t>
      </w:r>
    </w:p>
    <w:p>
      <w:pPr>
        <w:spacing w:after="60"/>
        <w:ind w:firstLine="567"/>
        <w:jc w:val="both"/>
      </w:pPr>
      <w:r>
        <w:rPr>
          <w:rFonts w:ascii="Arial" w:cs="Arial" w:eastAsia="Arial" w:hAnsi="Arial"/>
          <w:sz w:val="24"/>
          <w:szCs w:val="24"/>
        </w:rPr>
        <w:t xml:space="preserve">2.4. Дочерние и зависимые компании банка создаются в любой организационно-правовой форме, предусмотренной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cigxijqae7pfeqhiix3jx">
        <w:r>
          <w:rPr>
            <w:rFonts w:ascii="Arial" w:cs="Arial" w:eastAsia="Arial" w:hAnsi="Arial"/>
            <w:i/>
            <w:iCs/>
            <w:color w:val="1D4ED8"/>
            <w:sz w:val="24"/>
            <w:szCs w:val="24"/>
            <w:u w:val="single"/>
          </w:rPr>
          <w:t xml:space="preserve">15 июня 2017 года № 2017-П-12/25-5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2.5. Дочерние и зависимые компании банка, а также дочерние компании дочерней компании банка, приобретаемые или создаваемые за пределами территории Кыргызской Республики, осуществляют деятельность, указанную в пункте 2.1. настоящих Правил, не противоречащую нормативным правовым актам иностранного государства по месту нахождения дочерней или зависимой компании, если иное не предусмотрено в установленном порядке вступившим в силу международным договором, участником которого является Кыргызская Республика.</w:t>
      </w:r>
    </w:p>
    <w:p>
      <w:pPr>
        <w:spacing w:after="120"/>
        <w:ind w:firstLine="397"/>
        <w:jc w:val="both"/>
      </w:pPr>
      <w:r>
        <w:rPr>
          <w:rFonts w:ascii="Arial" w:cs="Arial" w:eastAsia="Arial" w:hAnsi="Arial"/>
          <w:sz w:val="24"/>
          <w:szCs w:val="24"/>
        </w:rPr>
        <w:t xml:space="preserve">2.6. Дочерние или зависимые компании банка:</w:t>
      </w:r>
    </w:p>
    <w:p>
      <w:pPr>
        <w:spacing w:after="120"/>
        <w:ind w:firstLine="397"/>
        <w:jc w:val="both"/>
      </w:pPr>
      <w:r>
        <w:rPr>
          <w:rFonts w:ascii="Arial" w:cs="Arial" w:eastAsia="Arial" w:hAnsi="Arial"/>
          <w:sz w:val="24"/>
          <w:szCs w:val="24"/>
        </w:rPr>
        <w:t xml:space="preserve">1) приобретаемые на территории Кыргызской Республики, должны иметь устойчивое финансовое состояние (безубыточное), подтвержденное финансовой отчетностью за последние два года, заверенной независимой аудиторской организацией (внешним аудитором) для компаний, подлежащих аудиторской проверке, или финансовой отчетностью, заверенной печатью налоговой службы, в случае, если компания не подлежит аудиту;</w:t>
      </w:r>
    </w:p>
    <w:p>
      <w:pPr>
        <w:spacing w:after="120"/>
        <w:ind w:firstLine="397"/>
        <w:jc w:val="both"/>
      </w:pPr>
      <w:r>
        <w:rPr>
          <w:rFonts w:ascii="Arial" w:cs="Arial" w:eastAsia="Arial" w:hAnsi="Arial"/>
          <w:sz w:val="24"/>
          <w:szCs w:val="24"/>
        </w:rPr>
        <w:t xml:space="preserve">2) приобретаемые за пределами территории Кыргызской Республики, должны иметь устойчивое финансовое состояние (безубыточное), подтвержденное финансовой отчетностью за последние два года, заверенной независимой аудиторской организацией (внешним аудитором);</w:t>
      </w:r>
    </w:p>
    <w:p>
      <w:pPr>
        <w:spacing w:after="120"/>
        <w:ind w:firstLine="397"/>
        <w:jc w:val="both"/>
      </w:pPr>
      <w:r>
        <w:rPr>
          <w:rFonts w:ascii="Arial" w:cs="Arial" w:eastAsia="Arial" w:hAnsi="Arial"/>
          <w:sz w:val="24"/>
          <w:szCs w:val="24"/>
        </w:rPr>
        <w:t xml:space="preserve">3) создаваемые на территории и за пределами территории Кыргызской Республики, должны соответствовать критериям устойчивого финансового состояния, указанным в подпунктах 1) и 2) настоящего пункта, соответственно, по итогам деятельности на третий год работы;</w:t>
      </w:r>
    </w:p>
    <w:p>
      <w:pPr>
        <w:spacing w:after="120"/>
        <w:ind w:firstLine="397"/>
        <w:jc w:val="both"/>
      </w:pPr>
      <w:r>
        <w:rPr>
          <w:rFonts w:ascii="Arial" w:cs="Arial" w:eastAsia="Arial" w:hAnsi="Arial"/>
          <w:sz w:val="24"/>
          <w:szCs w:val="24"/>
        </w:rPr>
        <w:t xml:space="preserve">4) руководитель и главный бухгалтер приобретаемой или создаваемой компании должны иметь высшее образование, подтвержденное соответствующими дипломами, кроме того, главный бухгалтер должен пройти специальную подготовку по вопросам бухгалтерского учета в финансово-кредитных учреждениях (международные стандарты бухгалтерского учета, международные стандарты финансовой отчетности), подтвержденную соответствующими документами;</w:t>
      </w:r>
    </w:p>
    <w:p>
      <w:pPr>
        <w:spacing w:after="120"/>
        <w:ind w:firstLine="397"/>
        <w:jc w:val="both"/>
      </w:pPr>
      <w:r>
        <w:rPr>
          <w:rFonts w:ascii="Arial" w:cs="Arial" w:eastAsia="Arial" w:hAnsi="Arial"/>
          <w:sz w:val="24"/>
          <w:szCs w:val="24"/>
        </w:rPr>
        <w:t xml:space="preserve">5) руководителем и главным бухгалтером приобретаемой и создаваемой компании не могут быть лица, в отношении которых:</w:t>
      </w:r>
    </w:p>
    <w:p>
      <w:pPr>
        <w:spacing w:after="120"/>
        <w:ind w:firstLine="397"/>
        <w:jc w:val="both"/>
      </w:pPr>
      <w:r>
        <w:rPr>
          <w:rFonts w:ascii="Arial" w:cs="Arial" w:eastAsia="Arial" w:hAnsi="Arial"/>
          <w:sz w:val="24"/>
          <w:szCs w:val="24"/>
        </w:rPr>
        <w:t xml:space="preserve">- имеется судимость, не снятая и/или непогашенная в порядке, установленном нормативными правовыми актами;</w:t>
      </w:r>
    </w:p>
    <w:p>
      <w:pPr>
        <w:spacing w:after="120"/>
        <w:ind w:firstLine="397"/>
        <w:jc w:val="both"/>
      </w:pPr>
      <w:r>
        <w:rPr>
          <w:rFonts w:ascii="Arial" w:cs="Arial" w:eastAsia="Arial" w:hAnsi="Arial"/>
          <w:sz w:val="24"/>
          <w:szCs w:val="24"/>
        </w:rPr>
        <w:t xml:space="preserve">- по решению суда вынесен обвинительный приговор, запрещающий им работать в финансово-кредитной сфере, или обвинительный приговор за совершение преступлений в сфере экономики, финансов и банковской деятельности, а также за должностные преступления;</w:t>
      </w:r>
    </w:p>
    <w:p>
      <w:pPr>
        <w:spacing w:after="120"/>
        <w:ind w:firstLine="397"/>
        <w:jc w:val="both"/>
      </w:pPr>
      <w:r>
        <w:rPr>
          <w:rFonts w:ascii="Arial" w:cs="Arial" w:eastAsia="Arial" w:hAnsi="Arial"/>
          <w:sz w:val="24"/>
          <w:szCs w:val="24"/>
        </w:rPr>
        <w:t xml:space="preserve">- имеется официальное решение Национального банка (постановление Комитета по надзору Национального банка, предписания и другие надзорные меры), признающее их причастными к действиям, классифицируемым как нездоровая и небезопасная банковская практика, и неоднократно допускавшими нарушения нормативных правовых актов;</w:t>
      </w:r>
    </w:p>
    <w:p>
      <w:pPr>
        <w:spacing w:after="120"/>
        <w:ind w:firstLine="397"/>
        <w:jc w:val="both"/>
      </w:pPr>
      <w:r>
        <w:rPr>
          <w:rFonts w:ascii="Arial" w:cs="Arial" w:eastAsia="Arial" w:hAnsi="Arial"/>
          <w:sz w:val="24"/>
          <w:szCs w:val="24"/>
        </w:rPr>
        <w:t xml:space="preserve">- имеется подтвержденная письменная информация, свидетельствующая об их ненадлежащей деловой репутации.</w:t>
      </w:r>
    </w:p>
    <w:p>
      <w:pPr>
        <w:spacing w:after="120"/>
        <w:ind w:firstLine="39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3. Создание и/или приобретение банком дочерней или зависимой компании</w:t>
      </w:r>
    </w:p>
    <w:p>
      <w:pPr>
        <w:spacing w:after="60"/>
        <w:ind w:firstLine="567"/>
        <w:jc w:val="both"/>
      </w:pPr>
      <w:r>
        <w:rPr>
          <w:rFonts w:ascii="Arial" w:cs="Arial" w:eastAsia="Arial" w:hAnsi="Arial"/>
          <w:sz w:val="24"/>
          <w:szCs w:val="24"/>
        </w:rPr>
        <w:t xml:space="preserve">3.1. Банк вправе создать и/или приобрести дочернюю или зависимую компанию при следующих условиях:</w:t>
      </w:r>
    </w:p>
    <w:p>
      <w:pPr>
        <w:spacing w:after="60"/>
        <w:ind w:firstLine="567"/>
        <w:jc w:val="both"/>
      </w:pPr>
      <w:r>
        <w:rPr>
          <w:rFonts w:ascii="Arial" w:cs="Arial" w:eastAsia="Arial" w:hAnsi="Arial"/>
          <w:sz w:val="24"/>
          <w:szCs w:val="24"/>
        </w:rPr>
        <w:t xml:space="preserve">- деятельность банка является безубыточной в течение предыдущих 3-х лет и на момент принятия решения о создании или приобретении дочерней или зависимой компании;</w:t>
      </w:r>
    </w:p>
    <w:p>
      <w:pPr>
        <w:spacing w:after="60"/>
        <w:ind w:firstLine="567"/>
        <w:jc w:val="both"/>
      </w:pPr>
      <w:r>
        <w:rPr>
          <w:rFonts w:ascii="Arial" w:cs="Arial" w:eastAsia="Arial" w:hAnsi="Arial"/>
          <w:sz w:val="24"/>
          <w:szCs w:val="24"/>
        </w:rPr>
        <w:t xml:space="preserve">- банком выполняются все экономические нормативы и требования Национального банка в течение последних 12 месяцев;</w:t>
      </w:r>
    </w:p>
    <w:p>
      <w:pPr>
        <w:spacing w:after="60"/>
        <w:ind w:firstLine="567"/>
        <w:jc w:val="both"/>
      </w:pPr>
      <w:r>
        <w:rPr>
          <w:rFonts w:ascii="Arial" w:cs="Arial" w:eastAsia="Arial" w:hAnsi="Arial"/>
          <w:sz w:val="24"/>
          <w:szCs w:val="24"/>
        </w:rPr>
        <w:t xml:space="preserve">- в отношении банка не установлены ограничения на осуществление отдельных видов банковских операций, вследствие выявления Национальным банком нарушений в деятельности банка;</w:t>
      </w:r>
    </w:p>
    <w:p>
      <w:pPr>
        <w:spacing w:after="60"/>
        <w:ind w:firstLine="567"/>
        <w:jc w:val="both"/>
      </w:pPr>
      <w:r>
        <w:rPr>
          <w:rFonts w:ascii="Arial" w:cs="Arial" w:eastAsia="Arial" w:hAnsi="Arial"/>
          <w:sz w:val="24"/>
          <w:szCs w:val="24"/>
        </w:rPr>
        <w:t xml:space="preserve">- по деятельности банка и его должностных лиц, работающих в банке на момент обращения в Национальный банк для получения письменного согласия, отсутствуют решения признающее их как подпадающие под нездоровую и небезопасную банковскую практику;</w:t>
      </w:r>
    </w:p>
    <w:p>
      <w:pPr>
        <w:spacing w:after="60"/>
        <w:ind w:firstLine="567"/>
        <w:jc w:val="both"/>
      </w:pPr>
      <w:r>
        <w:rPr>
          <w:rFonts w:ascii="Arial" w:cs="Arial" w:eastAsia="Arial" w:hAnsi="Arial"/>
          <w:sz w:val="24"/>
          <w:szCs w:val="24"/>
        </w:rPr>
        <w:t xml:space="preserve">- создание или приобретение дочерней или зависимой компании не приведет к нарушению экономических нормативов и требований Национального банка, а также к вовлечению банка в нездоровую и небезопасную банковскую практику;</w:t>
      </w:r>
    </w:p>
    <w:p>
      <w:pPr>
        <w:spacing w:after="60"/>
        <w:ind w:firstLine="567"/>
        <w:jc w:val="both"/>
      </w:pPr>
      <w:r>
        <w:rPr>
          <w:rFonts w:ascii="Arial" w:cs="Arial" w:eastAsia="Arial" w:hAnsi="Arial"/>
          <w:sz w:val="24"/>
          <w:szCs w:val="24"/>
        </w:rPr>
        <w:t xml:space="preserve">- создание или приобретение дочерних или зависимых компаний не несет угрозы интересам вкладчиков и других кредиторов банка и обусловлено интересами банка, а не личными интересами аффилированных и связанных с банком лиц;</w:t>
      </w:r>
    </w:p>
    <w:p>
      <w:pPr>
        <w:spacing w:after="60"/>
        <w:ind w:firstLine="567"/>
        <w:jc w:val="both"/>
      </w:pPr>
      <w:r>
        <w:rPr>
          <w:rFonts w:ascii="Arial" w:cs="Arial" w:eastAsia="Arial" w:hAnsi="Arial"/>
          <w:sz w:val="24"/>
          <w:szCs w:val="24"/>
        </w:rPr>
        <w:t xml:space="preserve">- создание или приобретение дочерней или зависимой компании не приведет к доминирующему положению банка на рынке банковских услуг;</w:t>
      </w:r>
    </w:p>
    <w:p>
      <w:pPr>
        <w:spacing w:after="60"/>
        <w:ind w:firstLine="567"/>
        <w:jc w:val="both"/>
      </w:pPr>
      <w:r>
        <w:rPr>
          <w:rFonts w:ascii="Arial" w:cs="Arial" w:eastAsia="Arial" w:hAnsi="Arial"/>
          <w:sz w:val="24"/>
          <w:szCs w:val="24"/>
        </w:rPr>
        <w:t xml:space="preserve">- должностные лица банка и его приобретаемой дочерней или зависимой компании, их акционеры (учредители) имеют безупречную деловую репутацию;</w:t>
      </w:r>
    </w:p>
    <w:p>
      <w:pPr>
        <w:spacing w:after="60"/>
        <w:ind w:firstLine="567"/>
        <w:jc w:val="both"/>
      </w:pPr>
      <w:r>
        <w:rPr>
          <w:rFonts w:ascii="Arial" w:cs="Arial" w:eastAsia="Arial" w:hAnsi="Arial"/>
          <w:sz w:val="24"/>
          <w:szCs w:val="24"/>
        </w:rPr>
        <w:t xml:space="preserve">- в банк не введен режим прямого банковского надзора.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yc2mh5d6-vabb2roreow2">
        <w:r>
          <w:rPr>
            <w:rFonts w:ascii="Arial" w:cs="Arial" w:eastAsia="Arial" w:hAnsi="Arial"/>
            <w:i/>
            <w:iCs/>
            <w:color w:val="1D4ED8"/>
            <w:sz w:val="24"/>
            <w:szCs w:val="24"/>
            <w:u w:val="single"/>
          </w:rPr>
          <w:t xml:space="preserve">15 июня 2017 года № 2017-П-12/25-5)</w:t>
        </w:r>
      </w:hyperlink>
    </w:p>
    <w:p>
      <w:pPr>
        <w:spacing w:after="60"/>
        <w:ind w:firstLine="567"/>
        <w:jc w:val="both"/>
      </w:pPr>
      <w:r>
        <w:rPr>
          <w:rFonts w:ascii="Arial" w:cs="Arial" w:eastAsia="Arial" w:hAnsi="Arial"/>
          <w:sz w:val="24"/>
          <w:szCs w:val="24"/>
        </w:rPr>
        <w:t xml:space="preserve">3.2. Решение о создании и/или приобретении дочерней или зависимой компании принимается Советом Директоров банка, с учетом заключения риск-менеджера банка о рисках, связанных с созданием и/или приобретением дочерней или зависимой компании.</w:t>
      </w:r>
    </w:p>
    <w:p>
      <w:pPr>
        <w:spacing w:after="60"/>
        <w:ind w:firstLine="567"/>
        <w:jc w:val="both"/>
      </w:pPr>
      <w:r>
        <w:rPr>
          <w:rFonts w:ascii="Arial" w:cs="Arial" w:eastAsia="Arial" w:hAnsi="Arial"/>
          <w:sz w:val="24"/>
          <w:szCs w:val="24"/>
        </w:rPr>
        <w:t xml:space="preserve">3.3. В случае принятия решения о создании и/или приобретении дочерней или зависимой компании за пределами территории Кыргызской Республики, банк предусматривает меры, направленные на минимизацию рисков, связанных с созданием и/или приобретением дочерних или зависимых компаний, включая анализ нормативных правовых актов соответствующей страны, создание резервов на покрытие потенциальных потерь и убытков, связанных со страновым риском и др.</w:t>
      </w:r>
    </w:p>
    <w:p>
      <w:pPr>
        <w:spacing w:after="60"/>
        <w:ind w:firstLine="567"/>
        <w:jc w:val="both"/>
      </w:pPr>
      <w:r>
        <w:rPr>
          <w:rFonts w:ascii="Arial" w:cs="Arial" w:eastAsia="Arial" w:hAnsi="Arial"/>
          <w:sz w:val="24"/>
          <w:szCs w:val="24"/>
        </w:rPr>
        <w:t xml:space="preserve">3.4. Банк, после принятия решения о создании или приобретении дочерней или зависимой компании, представляет в Национальный банк следующие документы:</w:t>
      </w:r>
    </w:p>
    <w:p>
      <w:pPr>
        <w:spacing w:after="60"/>
        <w:ind w:firstLine="567"/>
        <w:jc w:val="both"/>
      </w:pPr>
      <w:r>
        <w:rPr>
          <w:rFonts w:ascii="Arial" w:cs="Arial" w:eastAsia="Arial" w:hAnsi="Arial"/>
          <w:sz w:val="24"/>
          <w:szCs w:val="24"/>
        </w:rPr>
        <w:t xml:space="preserve">1) заявление на создание и/или приобретение дочерней и/или зависимой компании, содержащее общую информацию о компании (</w:t>
      </w:r>
      <w:r>
        <w:rPr>
          <w:rFonts w:ascii="Arial" w:cs="Arial" w:eastAsia="Arial" w:hAnsi="Arial"/>
          <w:sz w:val="24"/>
          <w:szCs w:val="24"/>
        </w:rPr>
        <w:t xml:space="preserve">Приложение 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 решение Совета директоров о создании и/или приобретении дочерней или зависимой компании. В банках, осуществляющих операции в соответствии с исламскими принципами банковского дела и финансирования, для создания исламской специальной финансовой компании - одобрение Шариатского совета банка;</w:t>
      </w:r>
    </w:p>
    <w:p>
      <w:pPr>
        <w:spacing w:after="60"/>
        <w:ind w:firstLine="567"/>
        <w:jc w:val="both"/>
      </w:pPr>
      <w:r>
        <w:rPr>
          <w:rFonts w:ascii="Arial" w:cs="Arial" w:eastAsia="Arial" w:hAnsi="Arial"/>
          <w:sz w:val="24"/>
          <w:szCs w:val="24"/>
        </w:rPr>
        <w:t xml:space="preserve">3) заключение банка о рисках банка, связанных с созданием и/или приобретением дочерних и/или зависимых компаний, включая оценку рисков создаваемой и/или приобретаемой компании, которые могут повлиять на финансовую стабильность банка;</w:t>
      </w:r>
    </w:p>
    <w:p>
      <w:pPr>
        <w:spacing w:after="60"/>
        <w:ind w:firstLine="567"/>
        <w:jc w:val="both"/>
      </w:pPr>
      <w:r>
        <w:rPr>
          <w:rFonts w:ascii="Arial" w:cs="Arial" w:eastAsia="Arial" w:hAnsi="Arial"/>
          <w:sz w:val="24"/>
          <w:szCs w:val="24"/>
        </w:rPr>
        <w:t xml:space="preserve">4) проекты устава и учредительного договора создаваемой компании. В банках, осуществляющих операции в соответствии с исламскими принципами банковского дела и финансирования, вышеуказанные документы должны быть одобрены Шариатским советом банка;</w:t>
      </w:r>
    </w:p>
    <w:p>
      <w:pPr>
        <w:spacing w:after="60"/>
        <w:ind w:firstLine="567"/>
        <w:jc w:val="both"/>
      </w:pPr>
      <w:r>
        <w:rPr>
          <w:rFonts w:ascii="Arial" w:cs="Arial" w:eastAsia="Arial" w:hAnsi="Arial"/>
          <w:sz w:val="24"/>
          <w:szCs w:val="24"/>
        </w:rPr>
        <w:t xml:space="preserve">5) копии устава, учредительного договора и свидетельства о государственной регистрации приобретаемой компании, нотариально заверенные в установленном порядке;</w:t>
      </w:r>
    </w:p>
    <w:p>
      <w:pPr>
        <w:spacing w:after="60"/>
        <w:ind w:firstLine="567"/>
        <w:jc w:val="both"/>
      </w:pPr>
      <w:r>
        <w:rPr>
          <w:rFonts w:ascii="Arial" w:cs="Arial" w:eastAsia="Arial" w:hAnsi="Arial"/>
          <w:sz w:val="24"/>
          <w:szCs w:val="24"/>
        </w:rPr>
        <w:t xml:space="preserve">6) бизнес-план развития банка с учетом создаваемой или приобретаемой компании на 1 год, содержащий экономическое обоснование создания или приобретения дочерней или зависимой компании, расчеты ожидаемого влияния создания или приобретения дочерней или зависимой компании на капитал и доходность банка, а также на выполнение банком экономических нормативов, установленных Национальным банком;</w:t>
      </w:r>
    </w:p>
    <w:p>
      <w:pPr>
        <w:spacing w:after="60"/>
        <w:ind w:firstLine="567"/>
        <w:jc w:val="both"/>
      </w:pPr>
      <w:r>
        <w:rPr>
          <w:rFonts w:ascii="Arial" w:cs="Arial" w:eastAsia="Arial" w:hAnsi="Arial"/>
          <w:sz w:val="24"/>
          <w:szCs w:val="24"/>
        </w:rPr>
        <w:t xml:space="preserve">7) годовые отчеты приобретаемой компании и ее значительных участников за последние два года, содержащие заключение (отчет) независимого аудитора об их достоверности и соответствующие пояснения и раскрытия информации;</w:t>
      </w:r>
    </w:p>
    <w:p>
      <w:pPr>
        <w:spacing w:after="60"/>
        <w:ind w:firstLine="567"/>
        <w:jc w:val="both"/>
      </w:pPr>
      <w:r>
        <w:rPr>
          <w:rFonts w:ascii="Arial" w:cs="Arial" w:eastAsia="Arial" w:hAnsi="Arial"/>
          <w:sz w:val="24"/>
          <w:szCs w:val="24"/>
        </w:rPr>
        <w:t xml:space="preserve">8) копию лицензии (или иного разрешительного документа) приобретаемой компании на осуществление деятельности, выданной соответствующим уполномоченным государственным органом, или письмо банка с указанием сведений о номере и дате лицензии (или иного разрешительного документа), об уполномоченном государственном органе, выдавшем лицензию (или иной разрешительный документ) приобретаемой компании, если уполномоченным государственным органом предусматривается запрет на снятие копий с лицензии (или иного разрешительного документа) и условие о признании копий недействительными;</w:t>
      </w:r>
    </w:p>
    <w:p>
      <w:pPr>
        <w:spacing w:after="60"/>
        <w:ind w:firstLine="567"/>
        <w:jc w:val="both"/>
      </w:pPr>
      <w:r>
        <w:rPr>
          <w:rFonts w:ascii="Arial" w:cs="Arial" w:eastAsia="Arial" w:hAnsi="Arial"/>
          <w:sz w:val="24"/>
          <w:szCs w:val="24"/>
        </w:rPr>
        <w:t xml:space="preserve">9) баланс банка и баланс приобретаемой дочерней или зависимой компании, прогноз консолидированного баланса банка с балансом дочерней или зависимой компании банка по состоянию на последнюю отчетную дату;</w:t>
      </w:r>
    </w:p>
    <w:p>
      <w:pPr>
        <w:spacing w:after="60"/>
        <w:ind w:firstLine="567"/>
        <w:jc w:val="both"/>
      </w:pPr>
      <w:r>
        <w:rPr>
          <w:rFonts w:ascii="Arial" w:cs="Arial" w:eastAsia="Arial" w:hAnsi="Arial"/>
          <w:sz w:val="24"/>
          <w:szCs w:val="24"/>
        </w:rPr>
        <w:t xml:space="preserve">10) сведения о мерах воздействия и санкциях, принятых в течение последних двух лет в отношении приобретаемой банком дочерней или зависимой компании, лицензируемой и регулируемой со стороны уполномоченного государственного органа или сведения об отсутствии подобных мер воздействия и санкциях;</w:t>
      </w:r>
    </w:p>
    <w:p>
      <w:pPr>
        <w:spacing w:after="60"/>
        <w:ind w:firstLine="567"/>
        <w:jc w:val="both"/>
      </w:pPr>
      <w:r>
        <w:rPr>
          <w:rFonts w:ascii="Arial" w:cs="Arial" w:eastAsia="Arial" w:hAnsi="Arial"/>
          <w:sz w:val="24"/>
          <w:szCs w:val="24"/>
        </w:rPr>
        <w:t xml:space="preserve">11) в случае создания или приобретения компании за пределами территории Кыргызской Республики:</w:t>
      </w:r>
    </w:p>
    <w:p>
      <w:pPr>
        <w:spacing w:after="60"/>
        <w:ind w:firstLine="567"/>
        <w:jc w:val="both"/>
      </w:pPr>
      <w:r>
        <w:rPr>
          <w:rFonts w:ascii="Arial" w:cs="Arial" w:eastAsia="Arial" w:hAnsi="Arial"/>
          <w:sz w:val="24"/>
          <w:szCs w:val="24"/>
        </w:rPr>
        <w:t xml:space="preserve">- письменное подтверждение органа надзора страны, в которой предполагается создать или приобрести дочернюю или зависимую компанию о том, что деятельность компаний подлежит надзору, согласно требованиям нормативных правовых актов страны, в которой предполагается создать или приобрести дочернюю или зависимую компанию;</w:t>
      </w:r>
    </w:p>
    <w:p>
      <w:pPr>
        <w:spacing w:after="60"/>
        <w:ind w:firstLine="567"/>
        <w:jc w:val="both"/>
      </w:pPr>
      <w:r>
        <w:rPr>
          <w:rFonts w:ascii="Arial" w:cs="Arial" w:eastAsia="Arial" w:hAnsi="Arial"/>
          <w:sz w:val="24"/>
          <w:szCs w:val="24"/>
        </w:rPr>
        <w:t xml:space="preserve">- или письменное подтверждение органа надзора о том, что деятельность компании не подлежит надзору, согласно требованиям нормативных правовых актов страны, в которой предполагается создать или приобрести дочернюю или зависимую компанию.</w:t>
      </w:r>
    </w:p>
    <w:p>
      <w:pPr>
        <w:spacing w:after="60"/>
        <w:ind w:firstLine="567"/>
        <w:jc w:val="both"/>
      </w:pPr>
      <w:r>
        <w:rPr>
          <w:rFonts w:ascii="Arial" w:cs="Arial" w:eastAsia="Arial" w:hAnsi="Arial"/>
          <w:i/>
          <w:iCs/>
          <w:sz w:val="24"/>
          <w:szCs w:val="24"/>
        </w:rPr>
        <w:t xml:space="preserve"> (В редакции постановления Правления Нацбанка КР от </w:t>
      </w:r>
      <w:hyperlink w:history="1" r:id="rIdybslggalgfkwr_3-pkqxz">
        <w:r>
          <w:rPr>
            <w:rFonts w:ascii="Arial" w:cs="Arial" w:eastAsia="Arial" w:hAnsi="Arial"/>
            <w:i/>
            <w:iCs/>
            <w:color w:val="1D4ED8"/>
            <w:sz w:val="24"/>
            <w:szCs w:val="24"/>
            <w:u w:val="single"/>
          </w:rPr>
          <w:t xml:space="preserve">15 июня 2017 года № 2017-П-12/25-5</w:t>
        </w:r>
      </w:hyperlink>
      <w:r>
        <w:rPr>
          <w:rFonts w:ascii="Arial" w:cs="Arial" w:eastAsia="Arial" w:hAnsi="Arial"/>
          <w:i/>
          <w:iCs/>
          <w:sz w:val="24"/>
          <w:szCs w:val="24"/>
        </w:rPr>
        <w:t xml:space="preserve">, </w:t>
      </w:r>
      <w:r>
        <w:rPr>
          <w:rFonts w:ascii="Arial" w:cs="Arial" w:eastAsia="Arial" w:hAnsi="Arial"/>
          <w:i/>
          <w:iCs/>
          <w:sz w:val="24"/>
          <w:szCs w:val="24"/>
        </w:rPr>
        <w:t xml:space="preserve">24 марта 2020 года № 2020-П-12/15-5</w:t>
      </w:r>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3.5. Указанные в подпунктах 10), 11) пункта 3.4. настоящих Правил документы дочерних или зависимых компаний банка, в случае их приобретения и/или создания за пределами территории Кыргызской Республики, представляются легализованными в установленном порядке. Перевод документов на государственный или официальный язык должен содержать подпись переводчика, заверенную нотариально.</w:t>
      </w:r>
    </w:p>
    <w:p>
      <w:pPr>
        <w:spacing w:after="120"/>
        <w:jc w:val="both"/>
      </w:pPr>
      <w:r>
        <w:rPr>
          <w:rFonts w:ascii="Arial" w:cs="Arial" w:eastAsia="Arial" w:hAnsi="Arial"/>
          <w:sz w:val="24"/>
          <w:szCs w:val="24"/>
        </w:rPr>
        <w:t xml:space="preserve">3.6. Национальный банк вправе запросить у банка дополнительную информацию, необходимую для принятия решения о предоставлении разрешения.</w:t>
      </w:r>
    </w:p>
    <w:p>
      <w:pPr>
        <w:spacing w:after="120"/>
        <w:jc w:val="both"/>
      </w:pPr>
      <w:r>
        <w:rPr>
          <w:rFonts w:ascii="Arial" w:cs="Arial" w:eastAsia="Arial" w:hAnsi="Arial"/>
          <w:sz w:val="24"/>
          <w:szCs w:val="24"/>
        </w:rPr>
        <w:t xml:space="preserve">3.7. При создании и/или приобретении банком дочерней или зависимой компании, осуществляющей операции по исламским принципам банковского дела и финансирования, в компании должен быть создан свой Шариатский совет. Список членов Шариатского совета должен быть представлен в Национальный банк.</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8dmngbe2n__tchlbuyoep">
        <w:r>
          <w:rPr>
            <w:rFonts w:ascii="Arial" w:cs="Arial" w:eastAsia="Arial" w:hAnsi="Arial"/>
            <w:color w:val="1D4ED8"/>
            <w:sz w:val="24"/>
            <w:szCs w:val="24"/>
            <w:u w:val="single"/>
          </w:rPr>
          <w:t xml:space="preserve">28 декабря 2022 года № 2022-П-12/83-8</w:t>
        </w:r>
      </w:hyperlink>
      <w:r>
        <w:rPr>
          <w:rFonts w:ascii="Arial" w:cs="Arial" w:eastAsia="Arial" w:hAnsi="Arial"/>
          <w:sz w:val="24"/>
          <w:szCs w:val="24"/>
        </w:rPr>
        <w:t xml:space="preserve">)</w:t>
      </w:r>
    </w:p>
    <w:p>
      <w:pPr>
        <w:spacing w:after="120" w:before="200"/>
        <w:ind w:firstLine="397"/>
        <w:jc w:val="center"/>
      </w:pPr>
      <w:r>
        <w:rPr>
          <w:rFonts w:ascii="Arial" w:cs="Arial" w:eastAsia="Arial" w:hAnsi="Arial"/>
          <w:b/>
          <w:bCs/>
          <w:sz w:val="32"/>
          <w:szCs w:val="32"/>
        </w:rPr>
        <w:t xml:space="preserve">4. Порядок рассмотрения документов, представленных банком для получения разрешения на создание и/или приобретение дочерних или зависимых компаний</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4.1. Документы, представляемые в Национальный банк, рассматриваются на предмет полноты и достоверности представленной информации, соответствия должностных лиц дочерней или зависимой компании установленным требованиям(4) и соответствия дочерней или зависимой компании критериям Национального банка, обоснованности бизнес-плана и соответствия деятельности дочерней или зависимой компании нормативным правовым актам.</w:t>
      </w:r>
    </w:p>
    <w:p>
      <w:pPr>
        <w:spacing w:after="120"/>
        <w:ind w:firstLine="397"/>
        <w:jc w:val="both"/>
      </w:pPr>
      <w:r>
        <w:rPr>
          <w:rFonts w:ascii="Arial" w:cs="Arial" w:eastAsia="Arial" w:hAnsi="Arial"/>
          <w:sz w:val="24"/>
          <w:szCs w:val="24"/>
        </w:rPr>
        <w:t xml:space="preserve">4.2. Документы, представленные в Национальный банк и имеющие более 1 листа, полистно описываются, пронумеровываются, прошнуровываются и подписываются. В Национальный банк представляются нотариально заверенные копии документов. В случае необходимости, по требованию Национального банка, отдельные документы должны быть дополнительно представлены в электронной форме.</w:t>
      </w:r>
    </w:p>
    <w:p>
      <w:pPr>
        <w:spacing w:after="120"/>
        <w:ind w:firstLine="397"/>
        <w:jc w:val="both"/>
      </w:pPr>
      <w:r>
        <w:rPr>
          <w:rFonts w:ascii="Arial" w:cs="Arial" w:eastAsia="Arial" w:hAnsi="Arial"/>
          <w:sz w:val="24"/>
          <w:szCs w:val="24"/>
        </w:rPr>
        <w:t xml:space="preserve">4.3. Национальный банк рассматривает представленные банком документы, принимает решение о предоставлении разрешения на создание и/или приобретение дочерней или зависимой компании или об отказе и направляет письмо на имя Председателя Совета Директоров банка с информацией о принятом решении в течение двух месяцев со дня поступления документов на рассмотрение.</w:t>
      </w:r>
    </w:p>
    <w:p>
      <w:pPr>
        <w:spacing w:after="120"/>
        <w:ind w:firstLine="397"/>
        <w:jc w:val="both"/>
      </w:pPr>
      <w:r>
        <w:rPr>
          <w:rFonts w:ascii="Arial" w:cs="Arial" w:eastAsia="Arial" w:hAnsi="Arial"/>
          <w:sz w:val="24"/>
          <w:szCs w:val="24"/>
        </w:rPr>
        <w:t xml:space="preserve">4.4. В случае несоответствия документов требованиям настоящих Правил и/или представления документов в неполном объеме, отсчет сроков рассмотрения документов начинается со дня получения Национальным банком документов, удовлетворяющих установленным требованиям.</w:t>
      </w:r>
    </w:p>
    <w:p>
      <w:pPr>
        <w:spacing w:after="120"/>
        <w:ind w:firstLine="397"/>
        <w:jc w:val="both"/>
      </w:pPr>
      <w:r>
        <w:rPr>
          <w:rFonts w:ascii="Arial" w:cs="Arial" w:eastAsia="Arial" w:hAnsi="Arial"/>
          <w:sz w:val="24"/>
          <w:szCs w:val="24"/>
        </w:rPr>
        <w:t xml:space="preserve">4.5. В течение пяти рабочих дней после проведения государственной регистрации создаваемой дочерней или зависимой компании и получения лицензии (или иного разрешительного документа) в соответствии с нормативными правовыми актами на право осуществления деятельности, банк направляет в Национальный банк уведомление с приложением копий устава, учредительного договора, свидетельства о государственной регистрации и лицензии (или иного разрешительного документа) дочерней или зависимой компании. Если уполномоченным государственным органом предусматривается запрет на снятие копий с лицензии (или иного разрешительного документа), а также условие о признании копий недействительными, то банк представляет в Национальный банк письмо в соответствии с подпунктом 8) пункта 3.4. настоящих Правил.</w:t>
      </w:r>
    </w:p>
    <w:p>
      <w:pPr>
        <w:spacing w:after="120"/>
        <w:ind w:firstLine="397"/>
        <w:jc w:val="both"/>
      </w:pPr>
      <w:r>
        <w:rPr>
          <w:rFonts w:ascii="Arial" w:cs="Arial" w:eastAsia="Arial" w:hAnsi="Arial"/>
          <w:sz w:val="24"/>
          <w:szCs w:val="24"/>
        </w:rPr>
        <w:t xml:space="preserve">4.6. В течение пяти рабочих дней после проведения государственной перерегистрации приобретаемой дочерней или зависимой компании и, в случае необходимости, переоформления лицензии (или иного разрешительного документа) в порядке, установленном нормативными правовыми актами Кыргызской Республики, банк направляет в Национальный банк уведомление с приложением копий устава, учредительного договора, свидетельства о государственной перерегистрации и лицензии (или иного разрешительного документа) дочерней или зависимой компании. Если уполномоченным государственным органом предусматривается запрет на снятие копий с лицензии (или иного разрешительного документа), а также условие о признании копий недействительными, то банк представляет в Национальный банк письмо в соответствии с подпунктом 8) пункта 3.4. настоящих Правил.</w:t>
      </w:r>
    </w:p>
    <w:p>
      <w:pPr>
        <w:spacing w:after="120"/>
        <w:ind w:firstLine="397"/>
        <w:jc w:val="both"/>
      </w:pPr>
      <w:r>
        <w:rPr>
          <w:rFonts w:ascii="Arial" w:cs="Arial" w:eastAsia="Arial" w:hAnsi="Arial"/>
          <w:sz w:val="24"/>
          <w:szCs w:val="24"/>
        </w:rPr>
        <w:t xml:space="preserve">4.7. В течение десяти рабочих дней после проведения государственной регистрации создаваемой дочерней или зависимой компании или перерегистрации приобретаемой дочерней или зависимой компании банка за пределами территории Кыргызской Республики, получения лицензии (или иного разрешительного документа) на право осуществления деятельности или переоформления лицензии в установленном нормативными правовыми актами порядке, банк представляет в Национальный банк копии соответствующих документов иностранного государства, легализованные в установленном порядке. Перевод документов на государственный или официальный язык должен содержать подпись переводчика, заверенную нотариально.</w:t>
      </w:r>
    </w:p>
    <w:p>
      <w:pPr>
        <w:spacing w:after="120"/>
        <w:ind w:firstLine="397"/>
        <w:jc w:val="both"/>
      </w:pPr>
      <w:r>
        <w:rPr>
          <w:rFonts w:ascii="Arial" w:cs="Arial" w:eastAsia="Arial" w:hAnsi="Arial"/>
          <w:sz w:val="24"/>
          <w:szCs w:val="24"/>
        </w:rPr>
        <w:t xml:space="preserve">4.8. В течение трех рабочих дней со дня поступления документов в Национальный банк, соответствующая запись вносится в Базу данных дочерних компаний банка (</w:t>
      </w:r>
      <w:hyperlink w:history="1" r:id="rIdzb2gixngp8jtqritghhda">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или в Базу данных зависимых компаний банка (</w:t>
      </w:r>
      <w:hyperlink w:history="1" r:id="rIdsav0l-lu_pgifdw2knqjy">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4.9. Банк обязан в течение десяти рабочих дней уведомлять Национальный банк о любом последующем изменении размера своего участия в капитале (доле) дочерней или зависимой компании (в суммарном и процентном выражении).</w:t>
      </w:r>
    </w:p>
    <w:p>
      <w:pPr>
        <w:spacing w:after="120"/>
        <w:ind w:firstLine="397"/>
        <w:jc w:val="both"/>
      </w:pPr>
      <w:r>
        <w:rPr>
          <w:rFonts w:ascii="Arial" w:cs="Arial" w:eastAsia="Arial" w:hAnsi="Arial"/>
          <w:sz w:val="24"/>
          <w:szCs w:val="24"/>
        </w:rPr>
        <w:t xml:space="preserve">4.10. Копии документов, представленных банком в Национальный банк, возвращаются банку согласно письменному запросу и только на основании акта приема-передачи копий документов от Национального банка банку.</w:t>
      </w:r>
    </w:p>
    <w:p>
      <w:pPr>
        <w:spacing w:after="120"/>
        <w:ind w:firstLine="39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5. Отказ в предоставлении разрешения на создание и/или приобретение банком дочерней или зависимой компании</w:t>
      </w:r>
    </w:p>
    <w:p>
      <w:pPr>
        <w:spacing w:after="60"/>
        <w:ind w:firstLine="567"/>
        <w:jc w:val="both"/>
      </w:pPr>
      <w:r>
        <w:rPr>
          <w:rFonts w:ascii="Arial" w:cs="Arial" w:eastAsia="Arial" w:hAnsi="Arial"/>
          <w:sz w:val="24"/>
          <w:szCs w:val="24"/>
        </w:rPr>
        <w:t xml:space="preserve">5.1. Национальный банк может отказать банку в предоставлении разрешения на создание и/или приобретение дочерней или зависимой компании в случаях:</w:t>
      </w:r>
    </w:p>
    <w:p>
      <w:pPr>
        <w:spacing w:after="60"/>
        <w:ind w:firstLine="567"/>
        <w:jc w:val="both"/>
      </w:pPr>
      <w:r>
        <w:rPr>
          <w:rFonts w:ascii="Arial" w:cs="Arial" w:eastAsia="Arial" w:hAnsi="Arial"/>
          <w:sz w:val="24"/>
          <w:szCs w:val="24"/>
        </w:rPr>
        <w:t xml:space="preserve">- представления документов не в полном объеме или документов, содержащих недостоверные сведения;</w:t>
      </w:r>
    </w:p>
    <w:p>
      <w:pPr>
        <w:spacing w:after="60"/>
        <w:ind w:firstLine="567"/>
        <w:jc w:val="both"/>
      </w:pPr>
      <w:r>
        <w:rPr>
          <w:rFonts w:ascii="Arial" w:cs="Arial" w:eastAsia="Arial" w:hAnsi="Arial"/>
          <w:sz w:val="24"/>
          <w:szCs w:val="24"/>
        </w:rPr>
        <w:t xml:space="preserve">- несоответствия дочерних и зависимых компаний банка критериям, установленным Национальным банком;</w:t>
      </w:r>
    </w:p>
    <w:p>
      <w:pPr>
        <w:spacing w:after="60"/>
        <w:ind w:firstLine="567"/>
        <w:jc w:val="both"/>
      </w:pPr>
      <w:r>
        <w:rPr>
          <w:rFonts w:ascii="Arial" w:cs="Arial" w:eastAsia="Arial" w:hAnsi="Arial"/>
          <w:sz w:val="24"/>
          <w:szCs w:val="24"/>
        </w:rPr>
        <w:t xml:space="preserve">- несоответствия руководителя или главного бухгалтера дочерних и зависимых компаний банка требованиям Национального банка, указанным в подпунктах 4) и 5) пункта 2.6. настоящих Правил;</w:t>
      </w:r>
    </w:p>
    <w:p>
      <w:pPr>
        <w:spacing w:after="60"/>
        <w:ind w:firstLine="567"/>
        <w:jc w:val="both"/>
      </w:pPr>
      <w:r>
        <w:rPr>
          <w:rFonts w:ascii="Arial" w:cs="Arial" w:eastAsia="Arial" w:hAnsi="Arial"/>
          <w:sz w:val="24"/>
          <w:szCs w:val="24"/>
        </w:rPr>
        <w:t xml:space="preserve">- наличия не устраненных мер воздействия и санкций в отношении приобретаемой банком дочерней или зависимой компании в течение последних двух лет со стороны уполномоченного государственного органа;</w:t>
      </w:r>
    </w:p>
    <w:p>
      <w:pPr>
        <w:spacing w:after="60"/>
        <w:ind w:firstLine="567"/>
        <w:jc w:val="both"/>
      </w:pPr>
      <w:r>
        <w:rPr>
          <w:rFonts w:ascii="Arial" w:cs="Arial" w:eastAsia="Arial" w:hAnsi="Arial"/>
          <w:sz w:val="24"/>
          <w:szCs w:val="24"/>
        </w:rPr>
        <w:t xml:space="preserve">- применения мер воздействия в отношении банка в течение периода времени рассмотрения Национальным банком документов для выдачи разрешения на создание или приобретение дочерней или зависимой компании;</w:t>
      </w:r>
    </w:p>
    <w:p>
      <w:pPr>
        <w:spacing w:after="60"/>
        <w:ind w:firstLine="567"/>
        <w:jc w:val="both"/>
      </w:pPr>
      <w:r>
        <w:rPr>
          <w:rFonts w:ascii="Arial" w:cs="Arial" w:eastAsia="Arial" w:hAnsi="Arial"/>
          <w:sz w:val="24"/>
          <w:szCs w:val="24"/>
        </w:rPr>
        <w:t xml:space="preserve">- невыполнения банком требований, указанных в пункте 3.1. настоящих Правил.</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hyperlink w:history="1" r:id="rIdcjifmgfzswqlbhzycg-g6">
        <w:r>
          <w:rPr>
            <w:rFonts w:ascii="Arial" w:cs="Arial" w:eastAsia="Arial" w:hAnsi="Arial"/>
            <w:i/>
            <w:iCs/>
            <w:color w:val="1D4ED8"/>
            <w:sz w:val="24"/>
            <w:szCs w:val="24"/>
            <w:u w:val="single"/>
          </w:rPr>
          <w:t xml:space="preserve">15 июня 2017 года № 2017-П-12/25-5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5.2. При отказе в предоставлении разрешения на создание и/или приобретение дочерней или зависимой компании, Национальный банк направляет в банк мотивированный отказ в письменной форме.</w:t>
      </w:r>
    </w:p>
    <w:p>
      <w:pPr>
        <w:spacing w:after="240" w:before="200"/>
        <w:jc w:val="center"/>
      </w:pPr>
      <w:r>
        <w:rPr>
          <w:rFonts w:ascii="Arial" w:cs="Arial" w:eastAsia="Arial" w:hAnsi="Arial"/>
          <w:b/>
          <w:bCs/>
          <w:sz w:val="32"/>
          <w:szCs w:val="32"/>
        </w:rPr>
        <w:t xml:space="preserve">6. Порядок применения мер воздействия к банкам, имеющим дочерние или зависимые компании, и к дочерним или зависимым компаниям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6.1. Меры воздействия к банкам, имеющим дочерние и зависимые компании, а также к дочерним и зависимым компаниям банка, применяются в соответствии с нормативными правовыми актами.</w:t>
      </w:r>
    </w:p>
    <w:p>
      <w:pPr>
        <w:spacing w:after="120"/>
        <w:ind w:firstLine="397"/>
        <w:jc w:val="both"/>
      </w:pPr>
      <w:r>
        <w:rPr>
          <w:rFonts w:ascii="Arial" w:cs="Arial" w:eastAsia="Arial" w:hAnsi="Arial"/>
          <w:sz w:val="24"/>
          <w:szCs w:val="24"/>
        </w:rPr>
        <w:t xml:space="preserve">6.2. В случае нарушения аффилированным лицом банка требований Национального банка и/или нормативных правовых актов или, если его деятельность или финансовое положение наносит или может нанести ущерб финансовой стабильности банка и интересам вкладчиков банка, Национальный банк может потребовать от аффилированного лица принятия мер по устранению выявленных нарушений и недостатков. При этом требования Национального банка излагаются в письменном соглашении между Национальным банком и аффилированным лицом банка или в предписании Национального банка.</w:t>
      </w:r>
    </w:p>
    <w:p>
      <w:pPr>
        <w:spacing w:after="120"/>
        <w:ind w:firstLine="397"/>
        <w:jc w:val="both"/>
      </w:pPr>
      <w:r>
        <w:rPr>
          <w:rFonts w:ascii="Arial" w:cs="Arial" w:eastAsia="Arial" w:hAnsi="Arial"/>
          <w:sz w:val="24"/>
          <w:szCs w:val="24"/>
        </w:rPr>
        <w:t xml:space="preserve">6.3. Национальный банк может потребовать от значительных участников банка принятия мер по отношению к контролируемым ими компаниям, чья деятельность или финансовое положение наносит или может нанести ущерб финансовой стабильности банка и интересам вкладчиков банка. При этом требования Национального банка излагаются в письменном соглашении между Национальным банком и значительным участником банка или в предписании Национального банка.</w:t>
      </w:r>
    </w:p>
    <w:p>
      <w:pPr>
        <w:spacing w:after="120"/>
        <w:ind w:firstLine="397"/>
        <w:jc w:val="both"/>
      </w:pPr>
      <w:r>
        <w:rPr>
          <w:rFonts w:ascii="Arial" w:cs="Arial" w:eastAsia="Arial" w:hAnsi="Arial"/>
          <w:sz w:val="24"/>
          <w:szCs w:val="24"/>
        </w:rPr>
        <w:t xml:space="preserve">6.4. Если требования Национального банка, предпринятые в соответствии с пунктами 6.2. и 6.3. настоящих Правил не выполнены в сроки, установленные Национальным банком, Национальный банк вправе, в отношении дочерней или зависимой компании банка, потребовать, чтобы банк:</w:t>
      </w:r>
    </w:p>
    <w:p>
      <w:pPr>
        <w:spacing w:after="120"/>
        <w:ind w:firstLine="397"/>
        <w:jc w:val="both"/>
      </w:pPr>
      <w:r>
        <w:rPr>
          <w:rFonts w:ascii="Arial" w:cs="Arial" w:eastAsia="Arial" w:hAnsi="Arial"/>
          <w:sz w:val="24"/>
          <w:szCs w:val="24"/>
        </w:rPr>
        <w:t xml:space="preserve">- не увеличивал размер любых инвестиций в данную компанию;</w:t>
      </w:r>
    </w:p>
    <w:p>
      <w:pPr>
        <w:spacing w:after="120"/>
        <w:ind w:firstLine="397"/>
        <w:jc w:val="both"/>
      </w:pPr>
      <w:r>
        <w:rPr>
          <w:rFonts w:ascii="Arial" w:cs="Arial" w:eastAsia="Arial" w:hAnsi="Arial"/>
          <w:sz w:val="24"/>
          <w:szCs w:val="24"/>
        </w:rPr>
        <w:t xml:space="preserve">- уменьшил свои инвестиции до уровня, когда компания не будет более являться дочерней или зависимой компанией банка;</w:t>
      </w:r>
    </w:p>
    <w:p>
      <w:pPr>
        <w:spacing w:after="120"/>
        <w:ind w:firstLine="397"/>
        <w:jc w:val="both"/>
      </w:pPr>
      <w:r>
        <w:rPr>
          <w:rFonts w:ascii="Arial" w:cs="Arial" w:eastAsia="Arial" w:hAnsi="Arial"/>
          <w:sz w:val="24"/>
          <w:szCs w:val="24"/>
        </w:rPr>
        <w:t xml:space="preserve">- прекратил участие в дочерней или зависимой компании и продал акции или долю в капитале дочерней или зависимой компании в течение срока, предусмотренного пунктом 6.7. настоящих Правил.</w:t>
      </w:r>
    </w:p>
    <w:p>
      <w:pPr>
        <w:spacing w:after="120"/>
        <w:ind w:firstLine="397"/>
        <w:jc w:val="both"/>
      </w:pPr>
      <w:r>
        <w:rPr>
          <w:rFonts w:ascii="Arial" w:cs="Arial" w:eastAsia="Arial" w:hAnsi="Arial"/>
          <w:sz w:val="24"/>
          <w:szCs w:val="24"/>
        </w:rPr>
        <w:t xml:space="preserve">6.5. После получения письма Национального банка об уменьшении инвестиций банка в капитал дочерней или зависимой компании до уровня, когда компания не будет более являться дочерней или зависимой компанией, банк предпринимает меры к продаже такой части акций либо доли в капитале дочерней или зависимой компании, когда компания не будет более являться дочерней или зависимой компанией банка. Банк продает часть акций лицам, не связанным с банком, в течение срока, установленного Национальным банком, который не должен превышать шести месяцев со дня получения соответствующего письма Национального банка, и в течение трех рабочих дней после продажи, банк уведомляет Национальный банк и другой уполномоченный государственный орган о продаже.</w:t>
      </w:r>
    </w:p>
    <w:p>
      <w:pPr>
        <w:spacing w:after="120"/>
        <w:ind w:firstLine="397"/>
        <w:jc w:val="both"/>
      </w:pPr>
      <w:r>
        <w:rPr>
          <w:rFonts w:ascii="Arial" w:cs="Arial" w:eastAsia="Arial" w:hAnsi="Arial"/>
          <w:sz w:val="24"/>
          <w:szCs w:val="24"/>
        </w:rPr>
        <w:t xml:space="preserve">6.6. Национальный банк может отозвать (аннулировать) разрешение на создание и/или приобретение дочерней или зависимой компании, если:</w:t>
      </w:r>
    </w:p>
    <w:p>
      <w:pPr>
        <w:spacing w:after="120"/>
        <w:ind w:firstLine="397"/>
        <w:jc w:val="both"/>
      </w:pPr>
      <w:r>
        <w:rPr>
          <w:rFonts w:ascii="Arial" w:cs="Arial" w:eastAsia="Arial" w:hAnsi="Arial"/>
          <w:sz w:val="24"/>
          <w:szCs w:val="24"/>
        </w:rPr>
        <w:t xml:space="preserve">- Национальному банку стали известны факты, на основании которых может быть отказано в предоставлении разрешения на создание дочерних и зависимых компаний;</w:t>
      </w:r>
    </w:p>
    <w:p>
      <w:pPr>
        <w:spacing w:after="120"/>
        <w:ind w:firstLine="397"/>
        <w:jc w:val="both"/>
      </w:pPr>
      <w:r>
        <w:rPr>
          <w:rFonts w:ascii="Arial" w:cs="Arial" w:eastAsia="Arial" w:hAnsi="Arial"/>
          <w:sz w:val="24"/>
          <w:szCs w:val="24"/>
        </w:rPr>
        <w:t xml:space="preserve">- Национальному банку стали известны факты, что дочерние или зависимые компании банка участвуют в деятельности, не разрешенной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 Национальному банку стали известны факты, свидетельствующие о ненадлежащей деловой репутации дочерней или зависимой компании банка и ее должностных лиц;</w:t>
      </w:r>
    </w:p>
    <w:p>
      <w:pPr>
        <w:spacing w:after="120"/>
        <w:ind w:firstLine="397"/>
        <w:jc w:val="both"/>
      </w:pPr>
      <w:r>
        <w:rPr>
          <w:rFonts w:ascii="Arial" w:cs="Arial" w:eastAsia="Arial" w:hAnsi="Arial"/>
          <w:sz w:val="24"/>
          <w:szCs w:val="24"/>
        </w:rPr>
        <w:t xml:space="preserve">- результаты последней инспекторской проверки либо информация, полученная в рамках внешнего надзора, показали наличие угрозы финансовой стабильности и надежности банка;</w:t>
      </w:r>
    </w:p>
    <w:p>
      <w:pPr>
        <w:spacing w:after="120"/>
        <w:ind w:firstLine="397"/>
        <w:jc w:val="both"/>
      </w:pPr>
      <w:r>
        <w:rPr>
          <w:rFonts w:ascii="Arial" w:cs="Arial" w:eastAsia="Arial" w:hAnsi="Arial"/>
          <w:sz w:val="24"/>
          <w:szCs w:val="24"/>
        </w:rPr>
        <w:t xml:space="preserve">- выявлено несоответствие со сведениями, на основании которых Национальным банком принято решение о предоставлении разрешения банку приобрести и/или создать дочернюю или зависимую компанию;</w:t>
      </w:r>
    </w:p>
    <w:p>
      <w:pPr>
        <w:spacing w:after="120"/>
        <w:ind w:firstLine="397"/>
        <w:jc w:val="both"/>
      </w:pPr>
      <w:r>
        <w:rPr>
          <w:rFonts w:ascii="Arial" w:cs="Arial" w:eastAsia="Arial" w:hAnsi="Arial"/>
          <w:sz w:val="24"/>
          <w:szCs w:val="24"/>
        </w:rPr>
        <w:t xml:space="preserve">- у дочерней или зависимой компании банка отозвана лицензия (или другой разрешительный документ) Национальным банком или другим уполномоченным государственным органом, согласно информации банка, представленной в Национальный банк.</w:t>
      </w:r>
    </w:p>
    <w:p>
      <w:pPr>
        <w:spacing w:after="120"/>
        <w:ind w:firstLine="397"/>
        <w:jc w:val="both"/>
      </w:pPr>
      <w:r>
        <w:rPr>
          <w:rFonts w:ascii="Arial" w:cs="Arial" w:eastAsia="Arial" w:hAnsi="Arial"/>
          <w:sz w:val="24"/>
          <w:szCs w:val="24"/>
        </w:rPr>
        <w:t xml:space="preserve">6.7. После получения письма Национального банка об отзыве (аннулировании) разрешения, банк предпринимает меры к продаже принадлежащих ему акций либо доли банка в капитале дочерней или зависимой компании лицам, не связанным с банком, в течение срока, установленного Национальным банком, который не должен превышать шести месяцев со дня получения соответствующего письма Национального банка, и уведомить Национальный банк и другой уполномоченный государственный орган в течение трех рабочих дней после продажи. В течение срока продажи акций либо доли банка в капитале дочерней или зависимой компании, дочерняя или зависимая компания банка, по требованию Национального банка, приостанавливает свою деятельность.</w:t>
      </w:r>
    </w:p>
    <w:p>
      <w:pPr>
        <w:spacing w:after="120"/>
        <w:ind w:firstLine="397"/>
        <w:jc w:val="both"/>
      </w:pPr>
      <w:r>
        <w:rPr>
          <w:rFonts w:ascii="Arial" w:cs="Arial" w:eastAsia="Arial" w:hAnsi="Arial"/>
          <w:sz w:val="24"/>
          <w:szCs w:val="24"/>
        </w:rPr>
        <w:t xml:space="preserve">6.8. В течение трех рабочих дней после поступления в Национальный банк уведомления банка о продаже принадлежащих ему акций либо доли банка в капитале дочерней или зависимой компании, соответствующая запись вносится в Базу данных дочерних компаний банка (Приложение 2) или в Базу данных зависимых компаний банка (Приложение 3).</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Ликвидация дочерней или зависимой компании банка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7.1. Решение о ликвидации дочерней или зависимой компании банка в порядке, предусмотренном нормативными правовыми актами Кыргызской Республики, может быть принято:</w:t>
      </w:r>
    </w:p>
    <w:p>
      <w:pPr>
        <w:spacing w:after="120"/>
        <w:ind w:firstLine="397"/>
        <w:jc w:val="both"/>
      </w:pPr>
      <w:r>
        <w:rPr>
          <w:rFonts w:ascii="Arial" w:cs="Arial" w:eastAsia="Arial" w:hAnsi="Arial"/>
          <w:sz w:val="24"/>
          <w:szCs w:val="24"/>
        </w:rPr>
        <w:t xml:space="preserve">- Советом Директоров банка;</w:t>
      </w:r>
    </w:p>
    <w:p>
      <w:pPr>
        <w:spacing w:after="120"/>
        <w:ind w:firstLine="397"/>
        <w:jc w:val="both"/>
      </w:pPr>
      <w:r>
        <w:rPr>
          <w:rFonts w:ascii="Arial" w:cs="Arial" w:eastAsia="Arial" w:hAnsi="Arial"/>
          <w:sz w:val="24"/>
          <w:szCs w:val="24"/>
        </w:rPr>
        <w:t xml:space="preserve">- судебными органами Кыргызской Республики;</w:t>
      </w:r>
    </w:p>
    <w:p>
      <w:pPr>
        <w:spacing w:after="120"/>
        <w:ind w:firstLine="397"/>
        <w:jc w:val="both"/>
      </w:pPr>
      <w:r>
        <w:rPr>
          <w:rFonts w:ascii="Arial" w:cs="Arial" w:eastAsia="Arial" w:hAnsi="Arial"/>
          <w:sz w:val="24"/>
          <w:szCs w:val="24"/>
        </w:rPr>
        <w:t xml:space="preserve">- в других случаях, предусмотренных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7.2. Ликвидация дочерней или зависимой компании банка осуществляется в соответствии с нормативными правовыми актами республики. Дочерние или зависимые компании банка, расположенные за пределами территории Кыргызской Республики, подлежат ликвидации в соответствии с нормативными правовыми актами страны нахождения дочерней или зависимой компании банка.</w:t>
      </w:r>
    </w:p>
    <w:p>
      <w:pPr>
        <w:spacing w:after="120"/>
        <w:ind w:firstLine="397"/>
        <w:jc w:val="both"/>
      </w:pPr>
      <w:r>
        <w:rPr>
          <w:rFonts w:ascii="Arial" w:cs="Arial" w:eastAsia="Arial" w:hAnsi="Arial"/>
          <w:sz w:val="24"/>
          <w:szCs w:val="24"/>
        </w:rPr>
        <w:t xml:space="preserve">7.3. Ликвидация дочерних или зависимых компаний, созданных на территории Кыргызской Республики, считается завершенной с момента внесения органом юстиции Кыргызской Республики соответствующей записи в единый государственный реестр юридических лиц.</w:t>
      </w:r>
    </w:p>
    <w:p>
      <w:pPr>
        <w:spacing w:after="120"/>
        <w:ind w:firstLine="397"/>
        <w:jc w:val="both"/>
      </w:pPr>
      <w:r>
        <w:rPr>
          <w:rFonts w:ascii="Arial" w:cs="Arial" w:eastAsia="Arial" w:hAnsi="Arial"/>
          <w:sz w:val="24"/>
          <w:szCs w:val="24"/>
        </w:rPr>
        <w:t xml:space="preserve">7.4. В течение трех рабочих дней после завершения ликвидации дочерней или зависимой компании, созданной на территории Кыргызской Республики, банк представляет в Национальный банк копию приказа о внесении соответствующей записи в единый государственный реестр юридических лиц, выданного органом юстиции.</w:t>
      </w:r>
    </w:p>
    <w:p>
      <w:pPr>
        <w:spacing w:after="120"/>
        <w:ind w:firstLine="397"/>
        <w:jc w:val="both"/>
      </w:pPr>
      <w:r>
        <w:rPr>
          <w:rFonts w:ascii="Arial" w:cs="Arial" w:eastAsia="Arial" w:hAnsi="Arial"/>
          <w:sz w:val="24"/>
          <w:szCs w:val="24"/>
        </w:rPr>
        <w:t xml:space="preserve">7.5. В течение десяти рабочих дней с даты снятия дочерней или зависимой компании банка с учетной регистрации в органах юстиции Кыргызской Республики или соответствующем регистрирующем органе за пределами Кыргызской Республики, банк письменно уведомляет Национальный банк и уполномоченный государственный орган, выдавший дочерней или зависимой компании лицензию (или иной разрешительный документ) на право осуществления деятельности, о прекращении деятельности дочерней или зависимой компании, с приложением нотариально заверенной копии документа уполномоченного государственного органа, подтверждающего снятие компании с учетной регистрации.</w:t>
      </w:r>
    </w:p>
    <w:p>
      <w:pPr>
        <w:spacing w:after="120"/>
        <w:ind w:firstLine="397"/>
        <w:jc w:val="both"/>
      </w:pPr>
      <w:r>
        <w:rPr>
          <w:rFonts w:ascii="Arial" w:cs="Arial" w:eastAsia="Arial" w:hAnsi="Arial"/>
          <w:sz w:val="24"/>
          <w:szCs w:val="24"/>
        </w:rPr>
        <w:t xml:space="preserve">7.6. В течение трех рабочих дней со дня поступления документов в Национальный банк, соответствующая запись вносится в Базу данных дочерних компаний банка (Приложение 2) или в Базу данных зависимых компаний банка (Приложение 3).</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8. Сведения и отчетность, представляемые банком в Национальный банк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8.1. Банк представляет в Национальный банк информацию о существенных изменениях, вносимых в учредительные документы, уставы, структуру дочерних или зависимых компаний, расширении их деятельности, смене должностных лиц в дочерних или зависимых компаниях, а также информацию о создании и/или приобретении дочерних компаний дочерними компаниями банка не позднее 30 дней с момента принятия соответствующего решения.</w:t>
      </w:r>
    </w:p>
    <w:p>
      <w:pPr>
        <w:spacing w:after="120"/>
        <w:ind w:firstLine="397"/>
        <w:jc w:val="both"/>
      </w:pPr>
      <w:r>
        <w:rPr>
          <w:rFonts w:ascii="Arial" w:cs="Arial" w:eastAsia="Arial" w:hAnsi="Arial"/>
          <w:sz w:val="24"/>
          <w:szCs w:val="24"/>
        </w:rPr>
        <w:t xml:space="preserve">(В редакции постановления Правления Нацбанка КР от </w:t>
      </w:r>
      <w:hyperlink w:history="1" r:id="rIdv-ahorkdwuei3vtdrfadx">
        <w:r>
          <w:rPr>
            <w:rFonts w:ascii="Arial" w:cs="Arial" w:eastAsia="Arial" w:hAnsi="Arial"/>
            <w:color w:val="1D4ED8"/>
            <w:sz w:val="24"/>
            <w:szCs w:val="24"/>
            <w:u w:val="single"/>
          </w:rPr>
          <w:t xml:space="preserve">17 февраля 2010 года N 2/3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8.2. Национальный банк рассматривает поступившую информацию и в течение 30 дней с момента ее поступления, направляет в банк письмо с мотивированным запретом на совершение тех или иных изменений. В случае, если Национальный банк не сообщил о своем решении в течение указанного срока, согласие с изменениями считается принятым.</w:t>
      </w:r>
    </w:p>
    <w:p>
      <w:pPr>
        <w:spacing w:after="120"/>
        <w:ind w:firstLine="397"/>
        <w:jc w:val="both"/>
      </w:pPr>
      <w:r>
        <w:rPr>
          <w:rFonts w:ascii="Arial" w:cs="Arial" w:eastAsia="Arial" w:hAnsi="Arial"/>
          <w:sz w:val="24"/>
          <w:szCs w:val="24"/>
        </w:rPr>
        <w:t xml:space="preserve">8.3. Банк в обязательном порядке уведомляет Национальный банк обо всех фактах или обстоятельствах, которые могут существенно повлиять на его финансовое положение, или на финансовое положение любой его дочерней или зависимой компании, по результатам рассмотрения которой Национальный банк принимает соответствующие меры в установленном порядке.</w:t>
      </w:r>
    </w:p>
    <w:p>
      <w:pPr>
        <w:spacing w:after="120"/>
        <w:ind w:firstLine="397"/>
        <w:jc w:val="both"/>
      </w:pPr>
      <w:r>
        <w:rPr>
          <w:rFonts w:ascii="Arial" w:cs="Arial" w:eastAsia="Arial" w:hAnsi="Arial"/>
          <w:sz w:val="24"/>
          <w:szCs w:val="24"/>
        </w:rPr>
        <w:t xml:space="preserve">8.4. Банк представляет в Национальный банк финансовую отчетность на индивидуальной и консолидированной основе.</w:t>
      </w:r>
    </w:p>
    <w:p>
      <w:pPr>
        <w:spacing w:after="120"/>
        <w:ind w:firstLine="397"/>
        <w:jc w:val="both"/>
      </w:pPr>
      <w:r>
        <w:rPr>
          <w:rFonts w:ascii="Arial" w:cs="Arial" w:eastAsia="Arial" w:hAnsi="Arial"/>
          <w:sz w:val="24"/>
          <w:szCs w:val="24"/>
        </w:rPr>
        <w:t xml:space="preserve">8.5. Банк представляет в Национальный банк Периодический регулятивный банковский отчет на индивидуальной и консолидированной основе в соответствии с требованиями, установленными Национальным банком.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Особенности создания дочернего банка на территории Кыргызской Республики предусмотрены </w:t>
      </w:r>
      <w:hyperlink w:history="1" r:id="rId0rmyhq9de5fztsq45wvu6">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лицензировании деятельности банков, утвержденным </w:t>
      </w:r>
      <w:hyperlink w:history="1" r:id="rIdominuybf3wiyym0vr-7i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НБКР "Об утверждении </w:t>
      </w:r>
      <w:hyperlink w:history="1" r:id="rIdksh92blkzedtf48m9vsnv">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лицензировании деятельности банков" N 5/7 от 2 марта 2006 г., зарегистрированным в МЮ КР 7 апреля 2006 г., регистрационный номер 34-06.</w:t>
      </w:r>
    </w:p>
    <w:p>
      <w:pPr>
        <w:spacing w:after="120"/>
        <w:ind w:firstLine="397"/>
        <w:jc w:val="both"/>
      </w:pPr>
      <w:r>
        <w:rPr>
          <w:rFonts w:ascii="Arial" w:cs="Arial" w:eastAsia="Arial" w:hAnsi="Arial"/>
          <w:sz w:val="24"/>
          <w:szCs w:val="24"/>
        </w:rPr>
        <w:t xml:space="preserve">(2) </w:t>
      </w:r>
      <w:hyperlink w:history="1" r:id="rIduexs8akfv37wrc9iyofmo">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оффшорных зон утвержден </w:t>
      </w:r>
      <w:hyperlink w:history="1" r:id="rId5qnaam4lbplehw-y3sx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НБКР "Об установлении требований по определению субъектов и перечня оффшорных зон" N 13/2 от 16 апреля 2003 г., зарегистрированным в МЮ КР 22 апреля 2003 г., регистрационный номер 37-03.</w:t>
      </w:r>
    </w:p>
    <w:p>
      <w:pPr>
        <w:spacing w:after="120"/>
        <w:ind w:firstLine="397"/>
        <w:jc w:val="both"/>
      </w:pPr>
      <w:r>
        <w:rPr>
          <w:rFonts w:ascii="Arial" w:cs="Arial" w:eastAsia="Arial" w:hAnsi="Arial"/>
          <w:sz w:val="24"/>
          <w:szCs w:val="24"/>
        </w:rPr>
        <w:t xml:space="preserve">(3) В соответствии со статьей 31 </w:t>
      </w:r>
      <w:hyperlink w:history="1" r:id="rIdu81cloi5oemfxrew1h7j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банках и банковской деятельности в Кыргызской Республике".</w:t>
      </w:r>
    </w:p>
    <w:p>
      <w:pPr>
        <w:spacing w:after="120"/>
        <w:ind w:firstLine="397"/>
        <w:jc w:val="both"/>
      </w:pPr>
      <w:r>
        <w:rPr>
          <w:rFonts w:ascii="Arial" w:cs="Arial" w:eastAsia="Arial" w:hAnsi="Arial"/>
          <w:sz w:val="24"/>
          <w:szCs w:val="24"/>
        </w:rPr>
        <w:t xml:space="preserve">(4) В соответствии с </w:t>
      </w:r>
      <w:hyperlink w:history="1" r:id="rIdcuumpunsnrtswrcpjhduz">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лицензировании деятельности банков, утвержденного </w:t>
      </w:r>
      <w:hyperlink w:history="1" r:id="rIdfkcmdqoohqfw7po6kl1e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НБКР "Об утверждении Положения о лицензировании деятельности банков" N 5/7 от 2 марта 2006 г., зарегистрированным в МЮ КР 7 апреля 2006 г., регистрационный номер 34-06.</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ЗАЯВЛЕНИЕ</w:t>
      </w:r>
    </w:p>
    <w:p>
      <w:pPr>
        <w:spacing w:after="240" w:before="200"/>
        <w:jc w:val="center"/>
      </w:pPr>
      <w:r>
        <w:rPr>
          <w:rFonts w:ascii="Arial" w:cs="Arial" w:eastAsia="Arial" w:hAnsi="Arial"/>
          <w:b/>
          <w:bCs/>
          <w:sz w:val="32"/>
          <w:szCs w:val="32"/>
        </w:rPr>
        <w:t xml:space="preserve">на создание и/или приобретение дочерней и/или зависимой компании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Настоящим ________________________________________________________</w:t>
      </w:r>
    </w:p>
    <w:p>
      <w:pPr>
        <w:spacing w:after="120"/>
        <w:ind w:firstLine="397"/>
        <w:jc w:val="both"/>
      </w:pPr>
      <w:r>
        <w:rPr>
          <w:rFonts w:ascii="Arial" w:cs="Arial" w:eastAsia="Arial" w:hAnsi="Arial"/>
          <w:sz w:val="24"/>
          <w:szCs w:val="24"/>
        </w:rPr>
        <w:t xml:space="preserve">(наименование банка)</w:t>
      </w:r>
    </w:p>
    <w:p>
      <w:pPr>
        <w:spacing w:after="120"/>
        <w:ind w:firstLine="397"/>
        <w:jc w:val="both"/>
      </w:pPr>
      <w:r>
        <w:rPr>
          <w:rFonts w:ascii="Arial" w:cs="Arial" w:eastAsia="Arial" w:hAnsi="Arial"/>
          <w:sz w:val="24"/>
          <w:szCs w:val="24"/>
        </w:rPr>
        <w:t xml:space="preserve">расположенный по адресу ______________________________________________,</w:t>
      </w:r>
    </w:p>
    <w:p>
      <w:pPr>
        <w:spacing w:after="120"/>
        <w:ind w:firstLine="397"/>
        <w:jc w:val="both"/>
      </w:pPr>
      <w:r>
        <w:rPr>
          <w:rFonts w:ascii="Arial" w:cs="Arial" w:eastAsia="Arial" w:hAnsi="Arial"/>
          <w:sz w:val="24"/>
          <w:szCs w:val="24"/>
        </w:rPr>
        <w:t xml:space="preserve">(место нахождения банка)</w:t>
      </w:r>
    </w:p>
    <w:p>
      <w:pPr>
        <w:spacing w:after="120"/>
        <w:ind w:firstLine="397"/>
        <w:jc w:val="both"/>
      </w:pPr>
      <w:r>
        <w:rPr>
          <w:rFonts w:ascii="Arial" w:cs="Arial" w:eastAsia="Arial" w:hAnsi="Arial"/>
          <w:sz w:val="24"/>
          <w:szCs w:val="24"/>
        </w:rPr>
        <w:t xml:space="preserve">действующий на основании лицензии НБКР N ___ от "__" __________ 20_ г., просит разрешения на создание/приобретение ____________________________</w:t>
      </w:r>
    </w:p>
    <w:p>
      <w:pPr>
        <w:spacing w:after="120"/>
        <w:ind w:firstLine="397"/>
        <w:jc w:val="both"/>
      </w:pPr>
      <w:r>
        <w:rPr>
          <w:rFonts w:ascii="Arial" w:cs="Arial" w:eastAsia="Arial" w:hAnsi="Arial"/>
          <w:sz w:val="24"/>
          <w:szCs w:val="24"/>
        </w:rPr>
        <w:t xml:space="preserve">(указать необходимое)</w:t>
      </w:r>
    </w:p>
    <w:p>
      <w:pPr>
        <w:spacing w:after="120"/>
        <w:ind w:firstLine="397"/>
        <w:jc w:val="both"/>
      </w:pPr>
      <w:r>
        <w:rPr>
          <w:rFonts w:ascii="Arial" w:cs="Arial" w:eastAsia="Arial" w:hAnsi="Arial"/>
          <w:sz w:val="24"/>
          <w:szCs w:val="24"/>
        </w:rPr>
        <w:t xml:space="preserve">дочерней/зависимой компании ___________________________________________</w:t>
      </w:r>
    </w:p>
    <w:p>
      <w:pPr>
        <w:spacing w:after="120"/>
        <w:ind w:firstLine="397"/>
        <w:jc w:val="both"/>
      </w:pPr>
      <w:r>
        <w:rPr>
          <w:rFonts w:ascii="Arial" w:cs="Arial" w:eastAsia="Arial" w:hAnsi="Arial"/>
          <w:sz w:val="24"/>
          <w:szCs w:val="24"/>
        </w:rPr>
        <w:t xml:space="preserve">(указать необходимое)</w:t>
      </w:r>
    </w:p>
    <w:p>
      <w:pPr>
        <w:spacing w:after="120"/>
        <w:ind w:firstLine="397"/>
        <w:jc w:val="both"/>
      </w:pPr>
      <w:r>
        <w:rPr>
          <w:rFonts w:ascii="Arial" w:cs="Arial" w:eastAsia="Arial" w:hAnsi="Arial"/>
          <w:sz w:val="24"/>
          <w:szCs w:val="24"/>
        </w:rPr>
        <w:t xml:space="preserve">со следующими реквизитами:</w:t>
      </w:r>
    </w:p>
    <w:p>
      <w:pPr>
        <w:spacing w:after="120"/>
        <w:ind w:firstLine="397"/>
        <w:jc w:val="both"/>
      </w:pPr>
      <w:r>
        <w:rPr>
          <w:rFonts w:ascii="Arial" w:cs="Arial" w:eastAsia="Arial" w:hAnsi="Arial"/>
          <w:sz w:val="24"/>
          <w:szCs w:val="24"/>
        </w:rPr>
        <w:t xml:space="preserve">1. Наименование компании _________________________________________</w:t>
      </w:r>
    </w:p>
    <w:p>
      <w:pPr>
        <w:spacing w:after="120"/>
        <w:ind w:firstLine="397"/>
        <w:jc w:val="both"/>
      </w:pPr>
      <w:r>
        <w:rPr>
          <w:rFonts w:ascii="Arial" w:cs="Arial" w:eastAsia="Arial" w:hAnsi="Arial"/>
          <w:sz w:val="24"/>
          <w:szCs w:val="24"/>
        </w:rPr>
        <w:t xml:space="preserve">2. Адрес компании ________________________________________________</w:t>
      </w:r>
    </w:p>
    <w:p>
      <w:pPr>
        <w:spacing w:after="120"/>
        <w:ind w:firstLine="397"/>
        <w:jc w:val="both"/>
      </w:pPr>
      <w:r>
        <w:rPr>
          <w:rFonts w:ascii="Arial" w:cs="Arial" w:eastAsia="Arial" w:hAnsi="Arial"/>
          <w:sz w:val="24"/>
          <w:szCs w:val="24"/>
        </w:rPr>
        <w:t xml:space="preserve">3. Организационно-правовая форма компании ________________________</w:t>
      </w:r>
    </w:p>
    <w:p>
      <w:pPr>
        <w:spacing w:after="120"/>
        <w:ind w:firstLine="397"/>
        <w:jc w:val="both"/>
      </w:pPr>
      <w:r>
        <w:rPr>
          <w:rFonts w:ascii="Arial" w:cs="Arial" w:eastAsia="Arial" w:hAnsi="Arial"/>
          <w:sz w:val="24"/>
          <w:szCs w:val="24"/>
        </w:rPr>
        <w:t xml:space="preserve">4. Вид деятельности компании _____________________________________</w:t>
      </w:r>
    </w:p>
    <w:p>
      <w:pPr>
        <w:spacing w:after="120"/>
        <w:ind w:firstLine="397"/>
        <w:jc w:val="both"/>
      </w:pPr>
      <w:r>
        <w:rPr>
          <w:rFonts w:ascii="Arial" w:cs="Arial" w:eastAsia="Arial" w:hAnsi="Arial"/>
          <w:sz w:val="24"/>
          <w:szCs w:val="24"/>
        </w:rPr>
        <w:t xml:space="preserve">5. Информация о том, с какого года компания работает на рынке ____ _______________________________________________________________________</w:t>
      </w:r>
    </w:p>
    <w:p>
      <w:pPr>
        <w:spacing w:after="120"/>
        <w:ind w:firstLine="397"/>
        <w:jc w:val="both"/>
      </w:pPr>
      <w:r>
        <w:rPr>
          <w:rFonts w:ascii="Arial" w:cs="Arial" w:eastAsia="Arial" w:hAnsi="Arial"/>
          <w:sz w:val="24"/>
          <w:szCs w:val="24"/>
        </w:rPr>
        <w:t xml:space="preserve">6. ФИО руководителя компании _____________________________________</w:t>
      </w:r>
    </w:p>
    <w:p>
      <w:pPr>
        <w:spacing w:after="120"/>
        <w:ind w:firstLine="397"/>
        <w:jc w:val="both"/>
      </w:pPr>
      <w:r>
        <w:rPr>
          <w:rFonts w:ascii="Arial" w:cs="Arial" w:eastAsia="Arial" w:hAnsi="Arial"/>
          <w:sz w:val="24"/>
          <w:szCs w:val="24"/>
        </w:rPr>
        <w:t xml:space="preserve">7. ФИО главного бухгалтера компании ______________________________</w:t>
      </w:r>
    </w:p>
    <w:p>
      <w:pPr>
        <w:spacing w:after="120"/>
        <w:ind w:firstLine="397"/>
        <w:jc w:val="both"/>
      </w:pPr>
      <w:r>
        <w:rPr>
          <w:rFonts w:ascii="Arial" w:cs="Arial" w:eastAsia="Arial" w:hAnsi="Arial"/>
          <w:sz w:val="24"/>
          <w:szCs w:val="24"/>
        </w:rPr>
        <w:t xml:space="preserve">8. Телефон ___________________ Факс ______________________________</w:t>
      </w:r>
    </w:p>
    <w:p>
      <w:pPr>
        <w:spacing w:after="120"/>
        <w:ind w:firstLine="397"/>
        <w:jc w:val="both"/>
      </w:pPr>
      <w:r>
        <w:rPr>
          <w:rFonts w:ascii="Arial" w:cs="Arial" w:eastAsia="Arial" w:hAnsi="Arial"/>
          <w:sz w:val="24"/>
          <w:szCs w:val="24"/>
        </w:rPr>
        <w:t xml:space="preserve">9. Размер уставного капитала компании ____________________ (сумма)</w:t>
      </w:r>
    </w:p>
    <w:p>
      <w:pPr>
        <w:spacing w:after="120"/>
        <w:ind w:firstLine="397"/>
        <w:jc w:val="both"/>
      </w:pPr>
      <w:r>
        <w:rPr>
          <w:rFonts w:ascii="Arial" w:cs="Arial" w:eastAsia="Arial" w:hAnsi="Arial"/>
          <w:sz w:val="24"/>
          <w:szCs w:val="24"/>
        </w:rPr>
        <w:t xml:space="preserve">10. Доля банка в уставном капитале компании ____ (%) _____ (сумма)</w:t>
      </w:r>
    </w:p>
    <w:p>
      <w:pPr>
        <w:spacing w:after="120"/>
        <w:ind w:firstLine="397"/>
        <w:jc w:val="both"/>
      </w:pPr>
      <w:r>
        <w:rPr>
          <w:rFonts w:ascii="Arial" w:cs="Arial" w:eastAsia="Arial" w:hAnsi="Arial"/>
          <w:sz w:val="24"/>
          <w:szCs w:val="24"/>
        </w:rPr>
        <w:t xml:space="preserve">11. Учредители, включая значительных участников и контролирующих лиц, и их доля в уставном капитале компании (% и сумма)</w:t>
      </w:r>
    </w:p>
    <w:p>
      <w:pPr>
        <w:spacing w:after="120"/>
        <w:ind w:firstLine="397"/>
        <w:jc w:val="both"/>
      </w:pPr>
      <w:r>
        <w:rPr>
          <w:rFonts w:ascii="Arial" w:cs="Arial" w:eastAsia="Arial" w:hAnsi="Arial"/>
          <w:sz w:val="24"/>
          <w:szCs w:val="24"/>
        </w:rPr>
        <w:t xml:space="preserve">_________________________________ _______ (%) _________________ (сумма)</w:t>
      </w:r>
    </w:p>
    <w:p>
      <w:pPr>
        <w:spacing w:after="120"/>
        <w:ind w:firstLine="397"/>
        <w:jc w:val="both"/>
      </w:pPr>
      <w:r>
        <w:rPr>
          <w:rFonts w:ascii="Arial" w:cs="Arial" w:eastAsia="Arial" w:hAnsi="Arial"/>
          <w:sz w:val="24"/>
          <w:szCs w:val="24"/>
        </w:rPr>
        <w:t xml:space="preserve">(наименование учредителя)</w:t>
      </w:r>
    </w:p>
    <w:p>
      <w:pPr>
        <w:spacing w:after="120"/>
        <w:ind w:firstLine="397"/>
        <w:jc w:val="both"/>
      </w:pPr>
      <w:r>
        <w:rPr>
          <w:rFonts w:ascii="Arial" w:cs="Arial" w:eastAsia="Arial" w:hAnsi="Arial"/>
          <w:sz w:val="24"/>
          <w:szCs w:val="24"/>
        </w:rPr>
        <w:t xml:space="preserve">_________________________________ _______ (%) _________________ (сумма)</w:t>
      </w:r>
    </w:p>
    <w:p>
      <w:pPr>
        <w:spacing w:after="120"/>
        <w:ind w:firstLine="397"/>
        <w:jc w:val="both"/>
      </w:pPr>
      <w:r>
        <w:rPr>
          <w:rFonts w:ascii="Arial" w:cs="Arial" w:eastAsia="Arial" w:hAnsi="Arial"/>
          <w:sz w:val="24"/>
          <w:szCs w:val="24"/>
        </w:rPr>
        <w:t xml:space="preserve">(наименование учредителя)</w:t>
      </w:r>
    </w:p>
    <w:p>
      <w:pPr>
        <w:spacing w:after="120"/>
        <w:ind w:firstLine="397"/>
        <w:jc w:val="both"/>
      </w:pPr>
      <w:r>
        <w:rPr>
          <w:rFonts w:ascii="Arial" w:cs="Arial" w:eastAsia="Arial" w:hAnsi="Arial"/>
          <w:sz w:val="24"/>
          <w:szCs w:val="24"/>
        </w:rPr>
        <w:t xml:space="preserve">_________________________________ _______ (%) _________________ (сумма)</w:t>
      </w:r>
    </w:p>
    <w:p>
      <w:pPr>
        <w:spacing w:after="120"/>
        <w:ind w:firstLine="397"/>
        <w:jc w:val="both"/>
      </w:pPr>
      <w:r>
        <w:rPr>
          <w:rFonts w:ascii="Arial" w:cs="Arial" w:eastAsia="Arial" w:hAnsi="Arial"/>
          <w:sz w:val="24"/>
          <w:szCs w:val="24"/>
        </w:rPr>
        <w:t xml:space="preserve">(наименование учредителя)</w:t>
      </w:r>
    </w:p>
    <w:p>
      <w:pPr>
        <w:spacing w:after="120"/>
        <w:ind w:firstLine="397"/>
        <w:jc w:val="both"/>
      </w:pPr>
      <w:r>
        <w:rPr>
          <w:rFonts w:ascii="Arial" w:cs="Arial" w:eastAsia="Arial" w:hAnsi="Arial"/>
          <w:sz w:val="24"/>
          <w:szCs w:val="24"/>
        </w:rPr>
        <w:t xml:space="preserve">Банк полностью несет ответственность за достоверность предъявленной информации.</w:t>
      </w:r>
    </w:p>
    <w:p>
      <w:pPr>
        <w:spacing w:after="120"/>
        <w:ind w:firstLine="397"/>
        <w:jc w:val="both"/>
      </w:pPr>
      <w:r>
        <w:rPr>
          <w:rFonts w:ascii="Arial" w:cs="Arial" w:eastAsia="Arial" w:hAnsi="Arial"/>
          <w:sz w:val="24"/>
          <w:szCs w:val="24"/>
        </w:rPr>
        <w:t xml:space="preserve">Учредительные документы создаваемой или приобретаемой компании на ____ листах, описаны полистно.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Председатель Совета Директоров банка _____________________________</w:t>
      </w:r>
    </w:p>
    <w:p>
      <w:pPr>
        <w:spacing w:after="120"/>
        <w:ind w:firstLine="397"/>
        <w:jc w:val="both"/>
      </w:pPr>
      <w:r>
        <w:rPr>
          <w:rFonts w:ascii="Arial" w:cs="Arial" w:eastAsia="Arial" w:hAnsi="Arial"/>
          <w:sz w:val="24"/>
          <w:szCs w:val="24"/>
        </w:rPr>
        <w:t xml:space="preserve">(подпись)</w:t>
      </w:r>
    </w:p>
    <w:p>
      <w:pPr>
        <w:spacing w:after="120"/>
        <w:ind w:firstLine="397"/>
        <w:jc w:val="both"/>
      </w:pPr>
      <w:r>
        <w:rPr>
          <w:rFonts w:ascii="Arial" w:cs="Arial" w:eastAsia="Arial" w:hAnsi="Arial"/>
          <w:sz w:val="24"/>
          <w:szCs w:val="24"/>
        </w:rPr>
        <w:t xml:space="preserve">_____________________________</w:t>
      </w:r>
    </w:p>
    <w:p>
      <w:pPr>
        <w:spacing w:after="120"/>
        <w:ind w:firstLine="397"/>
        <w:jc w:val="both"/>
      </w:pPr>
      <w:r>
        <w:rPr>
          <w:rFonts w:ascii="Arial" w:cs="Arial" w:eastAsia="Arial" w:hAnsi="Arial"/>
          <w:sz w:val="24"/>
          <w:szCs w:val="24"/>
        </w:rPr>
        <w:t xml:space="preserve">(Фамилия и инициалы)</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2</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БАЗА ДАННЫХ</w:t>
      </w:r>
    </w:p>
    <w:p>
      <w:pPr>
        <w:spacing w:after="240" w:before="200"/>
        <w:jc w:val="center"/>
      </w:pPr>
      <w:r>
        <w:rPr>
          <w:rFonts w:ascii="Arial" w:cs="Arial" w:eastAsia="Arial" w:hAnsi="Arial"/>
          <w:b/>
          <w:bCs/>
          <w:sz w:val="32"/>
          <w:szCs w:val="32"/>
        </w:rPr>
        <w:t xml:space="preserve">дочерних компаний банка</w:t>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Дата и основание для ликвидации дочерней компании</w:t>
      </w:r>
    </w:p>
    <w:p>
      <w:pPr>
        <w:spacing w:after="60"/>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3</w:t>
      </w:r>
    </w:p>
    <w:p>
      <w:pPr>
        <w:spacing w:after="240" w:before="200"/>
        <w:jc w:val="center"/>
      </w:pPr>
      <w:r>
        <w:rPr>
          <w:rFonts w:ascii="Arial" w:cs="Arial" w:eastAsia="Arial" w:hAnsi="Arial"/>
          <w:b/>
          <w:bCs/>
          <w:sz w:val="32"/>
          <w:szCs w:val="32"/>
        </w:rPr>
        <w:t xml:space="preserve">БАЗА ДАННЫХ</w:t>
      </w:r>
    </w:p>
    <w:p>
      <w:pPr>
        <w:spacing w:after="240" w:before="200"/>
        <w:jc w:val="center"/>
      </w:pPr>
      <w:r>
        <w:rPr>
          <w:rFonts w:ascii="Arial" w:cs="Arial" w:eastAsia="Arial" w:hAnsi="Arial"/>
          <w:b/>
          <w:bCs/>
          <w:sz w:val="32"/>
          <w:szCs w:val="32"/>
        </w:rPr>
        <w:t xml:space="preserve">зависимых компаний банка</w:t>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Дата и основание для ликвидации зависимой компании</w:t>
      </w:r>
    </w:p>
    <w:p>
      <w:pPr>
        <w:spacing w:after="60"/>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0-_rwnkxhbdsqrv9barn">
      <w:r>
        <w:rPr>
          <w:rFonts w:ascii="Arial" w:cs="Arial" w:eastAsia="Arial" w:hAnsi="Arial"/>
          <w:color w:val="132D3F"/>
          <w:sz w:val="16"/>
          <w:szCs w:val="16"/>
          <w:u w:val="single"/>
        </w:rPr>
        <w:t xml:space="preserve">dalil.kg/document/302297</w:t>
      </w:r>
    </w:hyperlink>
  </w:p>
  <w:p>
    <w:pPr>
      <w:spacing w:after="0" w:before="40"/>
      <w:jc w:val="center"/>
    </w:pPr>
    <w:hyperlink w:history="1" r:id="rIdlqdru1y44j7wq9gwzm2o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fsee-eenrnqwktwedb9h" Type="http://schemas.openxmlformats.org/officeDocument/2006/relationships/hyperlink" Target="https://dalil.kg/document/302326" TargetMode="External"/><Relationship Id="rIdqkndzslemkewmmysj0ueo" Type="http://schemas.openxmlformats.org/officeDocument/2006/relationships/hyperlink" Target="https://dalil.kg/document/302553" TargetMode="External"/><Relationship Id="rIdw-ip5e2colcdhpwrxqh8h" Type="http://schemas.openxmlformats.org/officeDocument/2006/relationships/hyperlink" Target="https://dalil.kg/document/800013" TargetMode="External"/><Relationship Id="rIdia0a8gsmjtiotqedgjjp7" Type="http://schemas.openxmlformats.org/officeDocument/2006/relationships/hyperlink" Target="https://dalil.kg/document/800470" TargetMode="External"/><Relationship Id="rIdg7um5ycqza05dc49aoe_7" Type="http://schemas.openxmlformats.org/officeDocument/2006/relationships/hyperlink" Target="https://dalil.kg/document/800013" TargetMode="External"/><Relationship Id="rIdvfp7qzime20obhw90tybo" Type="http://schemas.openxmlformats.org/officeDocument/2006/relationships/hyperlink" Target="https://dalil.kg/document/112428" TargetMode="External"/><Relationship Id="rId1ctejoj0vcmyilyqbqkuc" Type="http://schemas.openxmlformats.org/officeDocument/2006/relationships/hyperlink" Target="https://dalil.kg/document/800013" TargetMode="External"/><Relationship Id="rIdocamcddnvh1wvoudvzl0f" Type="http://schemas.openxmlformats.org/officeDocument/2006/relationships/hyperlink" Target="https://dalil.kg/document/800470" TargetMode="External"/><Relationship Id="rIdj-80_urqlbxgk4u1kxari" Type="http://schemas.openxmlformats.org/officeDocument/2006/relationships/hyperlink" Target="https://dalil.kg/document/112428#st_50" TargetMode="External"/><Relationship Id="rIdd2ytuq7zfkrxtlxrvzb0q" Type="http://schemas.openxmlformats.org/officeDocument/2006/relationships/hyperlink" Target="https://dalil.kg/document/800013" TargetMode="External"/><Relationship Id="rIdhcmxsxed_zussr1xrrr48" Type="http://schemas.openxmlformats.org/officeDocument/2006/relationships/hyperlink" Target="https://dalil.kg/document/800470" TargetMode="External"/><Relationship Id="rIdwwssgeydpllrao51xbudi" Type="http://schemas.openxmlformats.org/officeDocument/2006/relationships/hyperlink" Target="https://dalil.kg/document/800013" TargetMode="External"/><Relationship Id="rIdcqu1pmyscgfqu_jv6lwn0" Type="http://schemas.openxmlformats.org/officeDocument/2006/relationships/hyperlink" Target="https://dalil.kg/document/1081" TargetMode="External"/><Relationship Id="rIddc0ekmxrpsocidjmkmonk" Type="http://schemas.openxmlformats.org/officeDocument/2006/relationships/hyperlink" Target="https://dalil.kg/document/255" TargetMode="External"/><Relationship Id="rIdkyvldyiewrcxhi-kdvewg" Type="http://schemas.openxmlformats.org/officeDocument/2006/relationships/hyperlink" Target="https://dalil.kg/document/105" TargetMode="External"/><Relationship Id="rIdhk2rxee-axxd_8e76r7j4" Type="http://schemas.openxmlformats.org/officeDocument/2006/relationships/hyperlink" Target="https://dalil.kg/document/1091" TargetMode="External"/><Relationship Id="rIdqpd2a-tbrpb1ihtamm3sd" Type="http://schemas.openxmlformats.org/officeDocument/2006/relationships/hyperlink" Target="https://dalil.kg/document/1032" TargetMode="External"/><Relationship Id="rIdcigxijqae7pfeqhiix3jx" Type="http://schemas.openxmlformats.org/officeDocument/2006/relationships/hyperlink" Target="https://dalil.kg/document/800013" TargetMode="External"/><Relationship Id="rIdyc2mh5d6-vabb2roreow2" Type="http://schemas.openxmlformats.org/officeDocument/2006/relationships/hyperlink" Target="https://dalil.kg/document/800013" TargetMode="External"/><Relationship Id="rIdybslggalgfkwr_3-pkqxz" Type="http://schemas.openxmlformats.org/officeDocument/2006/relationships/hyperlink" Target="https://dalil.kg/document/800013" TargetMode="External"/><Relationship Id="rId8dmngbe2n__tchlbuyoep" Type="http://schemas.openxmlformats.org/officeDocument/2006/relationships/hyperlink" Target="https://dalil.kg/document/800470" TargetMode="External"/><Relationship Id="rIdzb2gixngp8jtqritghhda" Type="http://schemas.openxmlformats.org/officeDocument/2006/relationships/hyperlink" Target="https://dalil.kg/document/302297#p2" TargetMode="External"/><Relationship Id="rIdsav0l-lu_pgifdw2knqjy" Type="http://schemas.openxmlformats.org/officeDocument/2006/relationships/hyperlink" Target="https://dalil.kg/document/302297#p3" TargetMode="External"/><Relationship Id="rIdcjifmgfzswqlbhzycg-g6" Type="http://schemas.openxmlformats.org/officeDocument/2006/relationships/hyperlink" Target="https://dalil.kg/document/800013" TargetMode="External"/><Relationship Id="rIdv-ahorkdwuei3vtdrfadx" Type="http://schemas.openxmlformats.org/officeDocument/2006/relationships/hyperlink" Target="https://dalil.kg/document/302326" TargetMode="External"/><Relationship Id="rId0rmyhq9de5fztsq45wvu6" Type="http://schemas.openxmlformats.org/officeDocument/2006/relationships/hyperlink" Target="https://dalil.kg/document/300400" TargetMode="External"/><Relationship Id="rIdominuybf3wiyym0vr-7ib" Type="http://schemas.openxmlformats.org/officeDocument/2006/relationships/hyperlink" Target="https://dalil.kg/document/300399" TargetMode="External"/><Relationship Id="rIdksh92blkzedtf48m9vsnv" Type="http://schemas.openxmlformats.org/officeDocument/2006/relationships/hyperlink" Target="https://dalil.kg/document/300400" TargetMode="External"/><Relationship Id="rIduexs8akfv37wrc9iyofmo" Type="http://schemas.openxmlformats.org/officeDocument/2006/relationships/hyperlink" Target="https://dalil.kg/document/30782" TargetMode="External"/><Relationship Id="rId5qnaam4lbplehw-y3sx8-" Type="http://schemas.openxmlformats.org/officeDocument/2006/relationships/hyperlink" Target="https://dalil.kg/document/30782" TargetMode="External"/><Relationship Id="rIdu81cloi5oemfxrew1h7jd" Type="http://schemas.openxmlformats.org/officeDocument/2006/relationships/hyperlink" Target="https://dalil.kg/document/560" TargetMode="External"/><Relationship Id="rIdcuumpunsnrtswrcpjhduz" Type="http://schemas.openxmlformats.org/officeDocument/2006/relationships/hyperlink" Target="https://dalil.kg/document/300400" TargetMode="External"/><Relationship Id="rIdfkcmdqoohqfw7po6kl1ew" Type="http://schemas.openxmlformats.org/officeDocument/2006/relationships/hyperlink" Target="https://dalil.kg/document/300399" TargetMode="External"/><Relationship Id="rId8" Type="http://schemas.openxmlformats.org/officeDocument/2006/relationships/image" Target="media/8de64316e95979c063c17bcd5380dc052a2594e9.png"/><Relationship Id="rId4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0-_rwnkxhbdsqrv9barn" Type="http://schemas.openxmlformats.org/officeDocument/2006/relationships/hyperlink" Target="https://dalil.kg/document/302297" TargetMode="External"/><Relationship Id="rIdlqdru1y44j7wq9gwzm2o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2026-09-25T02:56:16.998Z</dcterms:created>
  <dcterms:modified xsi:type="dcterms:W3CDTF">2026-09-25T02:56:16.998Z</dcterms:modified>
</cp:coreProperties>
</file>

<file path=docProps/custom.xml><?xml version="1.0" encoding="utf-8"?>
<Properties xmlns="http://schemas.openxmlformats.org/officeDocument/2006/custom-properties" xmlns:vt="http://schemas.openxmlformats.org/officeDocument/2006/docPropsVTypes"/>
</file>