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cpoesmzkxyfdpsah8h2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vybjsbzgk6wixbop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rgf7zdqgeyv9-nlert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02l4xpjcnys_u3wq8r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w:history="1" r:id="rIdqzx6yc7ykozg1e0uqz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3najyl1q3bnaoczh1d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Первое предложение пункта 2.3 после слов "уступку клиенту" дополнить словами "в индивидуальном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Четвертый абзац пункта 4.1.1 после слов "- другие ценные бумаги" дополнить словами "при условии соблюдения минимальных требований, установленных Приложением 1 к настоящему 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4.3.2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первичная реструктуризация кредита.".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7.1 перед словами "Реструктуризированные кредиты" дополнить словом "Повторно".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Второй абзац пункта 10.5 после слов "категорией листинга" дополнить словами "при условии соблюдения минимальных требований, установленных Приложением 1 к настоящему 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 дополнить Приложением 1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ТРЕБОВАНИЯ,</w:t>
      </w:r>
      <w:r>
        <w:rPr>
          <w:rFonts w:ascii="Arial" w:cs="Arial" w:eastAsia="Arial" w:hAnsi="Arial"/>
          <w:sz w:val="24"/>
          <w:szCs w:val="24"/>
        </w:rPr>
        <w:t xml:space="preserve">
  предъявляемые к ценным бумагам, включенным в листинги фондовых бирж Кыргызской Республики по наивысшей и следующей за наивысшей категорией листинга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Наличие у эмитента ценных бумаг инвестиционного рейтинга не ниже "ВВВ" по классификации рейтингового агентства Moody's I№vestors Service или рейтинга аналогичного уровня по классификации рейтинговых агентств Sta№dard &amp; Poor's, Fitch.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Сделки с данными ценными бумагами не носят эпизодический характер, то есть, в торговой системе биржи заключается не менее одной сделки с данными ценными бумагами в период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ретроспективного анализа сроков погашения эмитентом обязательств по ранее выпущенным им ценным бумагам должны давать основания полагать, что эмитент не имел задолженности по исполнению обязательств по выпущенным им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Безубыточная деятельность эмитента ценных бумаг за последний отчетный год или по сумме трех последних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_hwbt-szoh7zax06i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dalil.kg/document/302341</w:t>
      </w:r>
    </w:hyperlink>
  </w:p>
  <w:p>
    <w:pPr>
      <w:spacing w:after="0" w:before="40"/>
      <w:jc w:val="center"/>
    </w:pPr>
    <w:hyperlink w:history="1" r:id="rIdvilkfkr-mofwhyl7psl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oesmzkxyfdpsah8h2g_" Type="http://schemas.openxmlformats.org/officeDocument/2006/relationships/hyperlink" Target="https://dalil.kg/document/559" TargetMode="External"/><Relationship Id="rIdvdvybjsbzgk6wixbopqzx" Type="http://schemas.openxmlformats.org/officeDocument/2006/relationships/hyperlink" Target="https://dalil.kg/document/31371" TargetMode="External"/><Relationship Id="rIdrgf7zdqgeyv9-nlertinf" Type="http://schemas.openxmlformats.org/officeDocument/2006/relationships/hyperlink" Target="https://dalil.kg/document/31372" TargetMode="External"/><Relationship Id="rIdx02l4xpjcnys_u3wq8rz_" Type="http://schemas.openxmlformats.org/officeDocument/2006/relationships/hyperlink" Target="https://dalil.kg/document/31372" TargetMode="External"/><Relationship Id="rIdqzx6yc7ykozg1e0uqzaml" Type="http://schemas.openxmlformats.org/officeDocument/2006/relationships/hyperlink" Target="https://dalil.kg/document/31371" TargetMode="External"/><Relationship Id="rId3najyl1q3bnaoczh1dyhc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_hwbt-szoh7zax06iqp" Type="http://schemas.openxmlformats.org/officeDocument/2006/relationships/hyperlink" Target="https://dalil.kg/document/302341" TargetMode="External"/><Relationship Id="rIdvilkfkr-mofwhyl7psl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2026-10-04T17:19:05.739Z</dcterms:created>
  <dcterms:modified xsi:type="dcterms:W3CDTF">2026-10-04T17:19:05.739Z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