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ВНИМАНИЕ!
 Изменения, внесенные </w:t>
      </w:r>
      <w:hyperlink w:history="1" r:id="rId80jvxsqfu1qqmwyprqsy5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Правления Нацбанка КР
 от 29 декабря 2021 года № 2021-П-12/75-3, вступают в силу с 1 января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Утверждено 
 </w:t>
      </w:r>
      <w:hyperlink w:history="1" r:id="rIdln0q1f7m3ck9udtex_swz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
 Кыргызской Республики 
 от 30 марта 2011 года № 20/4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ПОЛОЖЕНИЕ 
 о периодическом регулятивном отчете банков, осуществляющих операции в соответствии с исламскими принципами банковского дела и финансирования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постановлений Правления Нацбанка КР от </w:t>
      </w:r>
      <w:hyperlink w:history="1" r:id="rIdqgggitusgeh7dwyuyoppy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ui4yswlfdupy0oetpoane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23 декабря 2015 года № 78/23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ls5mrqmgdheute6axptmf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5 февраля 2016 года № 5/1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28 сентября 2016 года № 40/3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16 ноября 2016 года № 44/3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irajxxppsbcenq-5-tc0n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15 июня 2017 года № 2017-П-12/25-5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xskgqx1qrkgrr3e_ajqew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августа 2017 года № 2017-П-12/34-1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27 сентября 2017 года № 2017-П-10/42-4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0n2xnrpdek-yy1jhf_b7h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13 декабря 2017 года № 2017-П-12/51-13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dzcl-ihqea90d4y8pv3fz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10 апреля 2019 года № 2019-П-12/19-3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25 сентября 2019 года № 2019-П-12/49-4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, 11 декабря 2019 года № 2019-П-10/62-3, 20 января 2021 года № 2021-П-10/2-1, 15 сентября 2021 года № 2021-П-12/51-2, </w:t>
      </w:r>
      <w:hyperlink w:history="1" r:id="rIdmwwpfy6eyeyudh3ud9os1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15 декабря 2021 года № 2021-П-12/70-2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jhp1zd-2p40sechhcqazd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15 декабря 2021 года № 2021-П-12/70-3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f6mnbnwc6wus6ch1gyd8d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29 декабря 2021 года № 2021-П-12/75-3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Настоящее Положение определяет единую форму периодической регулятивной отчетности банков, осуществляющих операции в соответствии с исламскими принципами банковского дела и финансирования (далее - ПРБО).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kvmx_6x5l5yf_ymqglleu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15 июня 2017 года № 2017-П-12/25-5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Действие настоящего Положения распространяется на все коммерческие банки, осуществляющие операции в соответствии с исламскими принципами банковского дела и финансирования (далее - банки).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ПРБО составляется на основе данных бухгалтерского учета и внесистемного учета.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Цели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ПРБО составляется в целях проведения анализа: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финансового состояния банка в рамках выполняемых Национальным банком Кыргызской Республики (далее - Национальный банк) функций, закрепленных в </w:t>
      </w:r>
      <w:hyperlink w:history="1" r:id="rIduk65vndcj3jqffdrcotua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 Национальном банке Кыргызской Республики, банках и банковской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деятельности банка для принятия руководителями банка управленческих решений, включая решения по обеспечению ликвидности, платежеспособности и доходности.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0kt33ynuly__zxszf8n58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15 июня 2017 года № 2017-П-12/25-5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Главная задача ПРБО - представление достоверной и полной информации об экономической и хозяйственной деятельности банка для обеспечения выполнения целей, указанных в пункте 4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Содержание и периодичность представления ПРБО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ПРБО представляет собой отчетность о деятельности банка, составляемую в установленной форме за определенный период и представляемую в установленный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Состав отчетности в сводном виде, краткое содержание и сроки представления отчетов приведены в </w:t>
      </w:r>
      <w:hyperlink w:history="1" r:id="rIdsppt9-kxkubtqnhe3gwad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2"/>
          <w:szCs w:val="22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ПРБО состоит из 31 раздела.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Порядок представления ПРБО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В каждом банке должен быть назначен сотрудник, отвечающий за полноту и достоверность содержания, сроки представления и правильность заполнения ПРБО. На данного сотрудника также возлагается ответственность за взаимодействие с Национальным банком по всем вопросам, касающимся информации, содержащейся в ПРБО, и за проведение внутреннего согласования отчетов, где требуется подпись нескольких должностных лиц при передаче отчетов в электронном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pz3ys3uncflndxhy3kftn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15 декабря 2021 года № 2021-П-12/70-2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ПРБО представляется в Национальный банк по форме, согласно Приложению 2 к настоящему Положению и согласно требованиям </w:t>
      </w:r>
      <w:hyperlink w:history="1" r:id="rIdaqw35pffobht-esradj94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2"/>
          <w:szCs w:val="22"/>
        </w:rPr>
        <w:t xml:space="preserve"> "О деятельности Национального банка Кыргызской Республики в качестве удостоверяющего центра открытых ключей электронной цифровой подписи", утвержденного </w:t>
      </w:r>
      <w:hyperlink w:history="1" r:id="rIdch9ar0rgs1ougtzp20fax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от 15 июня 2016 года № 25/6, в установленные для каждого отчета сроки по системе электронной связи (электронных носителях информации), подписанные электронной подписью ответственного должностного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ek0zda9savpzwtzts7okj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15 декабря 2021 года № 2021-П-12/70-2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Отчеты в электронном формате, подписанные электронной подписью ответственного должностного лица, представляются в Национальный банк в установленные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5h_a2a-ldebcqifyosamh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15 декабря 2021 года № 2021-П-12/70-2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Электронные версии 1-31 разделов ПРБО передаются в Национальный банк. Электронные версии 19-31 разделов ПРБО должны сопровождаться электронной подписью (ЭП). Сопроводительные письма установленного формата ко всем разделам ПРБО также должны быть подписаны ЭП и представлены в электронном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07axtyaoyor1aufsdernh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15 декабря 2021 года № 2021-П-12/70-2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В случае каких-либо несоответствий, ошибок, неполного предоставления либо некорректного заполнения форм ПРБО, соответствующее структурное подразделение Национального банка уведомляет банк о необходимости корректировки отчета с отражением в финансовой отчетности в следующие сроки: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для ежедневного и еженедельного отчета - в течение 2 рабочих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для ежемесячного отчета - в течение 10 рабочих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для ежеквартального отчета - в течение 10 рабочих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для полугодового отчета - в течение 15 рабочих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для годового отчета - в течение 30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Откорректированные отчеты вместе с сопроводительным письмом банка должны быть представлены в Национальный банк: ежедневные и еженедельные отчеты в течение 2 рабочих дней, ежемесячные и ежеквартальные отчеты в течение 3 рабочих дней, полугодовые и годовые отчеты в течение 5 рабочих дней после получения уведомления о наличии несоответствий.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При отсутствии со стороны Национального банка замечаний по ПРБО либо после приведения отчета в соответствие с замечаниями Национального банка и подтверждения письмом банка ПРБО считается принятым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Филиалы банков, находящиеся в областях, представляют ежемесячно соответствующему областному (региональному) управлению Национального банка информацию, касающуюся их деятельности, в срок до 15 числа месяца, следующего за отчетным, после представления консолидированного ПРБО головным офисом банка. Перечень разделов ПРБО, представляемых филиалами банков в областные управления Национального банка по согласованию с курирующим Заместителем Председателя/членом Правления Национального банка, устанавливается соответствующим структурным подразделением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постановлений Правления Нацбанка КР от </w:t>
      </w:r>
      <w:hyperlink w:history="1" r:id="rIdmwrepohk6thzvszhscbvh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5 февраля 2016 года № 5/1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28 сентября 2016 года № 40/3)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16. Годовой ПРБО представляется в Национальный банк не позднее 15 февраля следующего за отчетным годом.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17. Экземпляр опубликованной финансовой отчетности с заключением независимой аудиторской компании после утверждения собранием акционеров в течение двух рабочих дней представляется в Национальный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28 сентября 2016 года № 40/3)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18. В ПРБО должна включаться и быть представлена в течение установленных сроков информация за выходные и праздничные дни, объявленные и рекомендованные для Национального банка и коммерческих банков Правительством Кыргызской Республики рабочими, независимо от того, работал банк в этот период или нет. При этом отчеты, содержащие информацию в иностранной валюте в сомовом эквиваленте, должны быть составлены с использованием учетного курса Национального банка на дату составления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19. ПРБО должен быть представлен в установленной форме: прошнурован, пронумерован с указанием количества страниц разделов ПРБО, скреплен печатью и подписан сотрудником банка, ответственным за составление и представление ПРБО.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20. ПРБО должен содержать достоверную информацию о состоянии банка на отчетную дату. Правильность отражения состояния банка в ежемесячном, ежеквартальном и годовом ПРБО удостоверяется Председателем Совета директоров банка или членом Совета директоров, заменяющим Председателя в его отсутствие, Председателем Правления банка, главным бухгалтером банка и членом Правления банка, курирующим работу по подготовке отчета.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21. За несвоевременное и/или недостоверное представление информации, за непредставление информации, а также некорректное заполнение ПРБО, банк несет ответственность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СОСТАВ 
 периодического регулятивного отчета исламского банка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постановлений Правления Нацбанка КР от </w:t>
      </w:r>
      <w:hyperlink w:history="1" r:id="rIdvm_zdw_5dnffdt7qinidn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23 декабря 2015 года № 78/23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28 сентября 2016 года № 40/3, </w:t>
      </w:r>
      <w:hyperlink w:history="1" r:id="rId_zljurbnvtmalapvdkrpk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15 июня 2017 года № 2017-П-12/25-5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9_oa2nbp4wbpmqcmkwn5l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августа 2017 года № 2017-П-12/34-1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ewdd88ejwubtmxwnympl6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10 апреля 2019 года № 2019-П-12/19-3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15 сентября 2021 года № 2021-П-12/51-2)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778"/>
        <w:gridCol w:w="2736"/>
        <w:gridCol w:w="1494"/>
        <w:gridCol w:w="1797"/>
        <w:gridCol w:w="3007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</w:tc>
        <w:tc>
          <w:tcPr>
            <w:tcW w:type="dxa" w:w="7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</w:t>
            </w:r>
          </w:p>
        </w:tc>
        <w:tc>
          <w:tcPr>
            <w:tcW w:type="dxa" w:w="2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Название</w:t>
            </w:r>
          </w:p>
        </w:tc>
        <w:tc>
          <w:tcPr>
            <w:tcW w:type="dxa" w:w="1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Периодичность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Сроки представления</w:t>
            </w:r>
          </w:p>
        </w:tc>
        <w:tc>
          <w:tcPr>
            <w:tcW w:type="dxa" w:w="300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Примечание или ссылка на НПА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Титульный лист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Ежемесячно, ежеквартально и раз в год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Прилагается только к первым 18 разделам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Сведения о членах Совета директоров, Правления банка и Шариатского совета банка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 в год и при изменениях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Прилагается только к первым 18 разделам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Информация об отдельных должностных лицах банка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 в год и при изменениях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Прилагается только к первым 18 разделам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Базовая информация по банку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 в год и при изменениях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Прилагается только к первым 18 разделам</w:t>
            </w:r>
          </w:p>
        </w:tc>
      </w:tr>
      <w:tr>
        <w:tc>
          <w:tcPr>
            <w:tcW w:type="dxa" w:w="36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7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1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Балансовый отчет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A.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Б. 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B. Капитал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 Забалансовые обязательства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0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Д. Расшифровка прочих активов и прочих обязательств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Е. Обязательства перед Национальным банком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Ж. Размещение активов банка по страновому признаку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З. Привлечение обязательств банка по страновому признаку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И. Привлечение обязательств банка по страновому признаку (в иностранной валюте)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К. Привлечение капитала по страновому признаку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Л. Объем финансирования по отраслям в разрезе областей Кыргызской Республики</w:t>
            </w:r>
          </w:p>
        </w:tc>
        <w:tc>
          <w:tcPr>
            <w:tcW w:type="dxa" w:w="1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Ежеквартально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М. Классификация предоставленного финансирования по степени риска в разрезе областей Кыргызской Республики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Ежеквартально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Н. Объем денежных средств (по источникам привлечения) на счетах клиентов в разрезе областей Кыргызской Республики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Ежеквартально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О. Прочие сведения банка в разрезе областей Кыргызской Республики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Ежеквартально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П. Информация о базе счетов клиентов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2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Отчет о прибылях и убытках и совокупном доходе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Отчет о прибыли и убытках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 Доходы, полученные по операциям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Б. Расходы, понесенные по операциям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В. Прочие доходы по операциям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 Прочие расходы по операциям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Д. Другие операционные и административные расходы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Отчет о совокупном доходе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3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Структура капитала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 Изменения в структуре капитала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Б. Справочные сведения об акциях и других ценных бумагах банка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4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Изменения в нераспределенной прибыли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5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Портфель ценных бумаг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6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Информация о просроченных активах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 Информация о просроченных активах (в сомах)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Б. Информация о просроченных активах (в инвалюте)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7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Классификация активов и забалансовых обязательств по степени риска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 Классификация активов и забалансовых обязательств по степени риска (в сомах)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Б. Классификация активов и забалансовых обязательств по степени риска (в инвалюте)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8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Изменения в РППУ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 Сведения о списанных за счет РППУ и возвращенных (ранее списанных) активах и забалансовых обязательствах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Б. Изменения в РППУ по предоставленному финансированию, кроме финансирования, предоставленного банкам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В. Изменения в РППУ по активам, отличным финансирования, и забалансовым обязательствам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 Изменения в РППУ по финансированию, предоставленному банкам и другим ФКО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9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Сведения о крупных рисках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 Сведения о крупных рисках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А-1. Сведения по 15 крупным источниками финансирования, в том числе ФКО и государственные учреждения (Социальный фонд КР и так далее)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Б. Сведения по остаткам денежных средств на корреспондентских счетах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Б-1. Сведения по средствам, размещенным на депозитных счетах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 Информация о брокере/дилере/депозитарии, обслуживающем банк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Д. Информация об операциях с корпоративными и государственными ценными бумагами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Е. Портфель корпоративных и государственных ценных бумаг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Ж. Портфель корпоративных и государственных ценных бумаг клиентов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Приложение № 1 к Инструкции о пределах финансирования, осуществляемого в соответствии с исламскими принципами банковского дела и финансирования. Приложение № 2 к Инструкции о пределах финансирования, осуществляемого в соответствии с исламскими принципами банковского дела и финансирования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10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Сведения об аффилированных лицах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 Краткие сведения об активных операциях с аффилированными лицами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Б. Общие сведения об операциях с аффилированными лицами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В. Сведения об аффилированных лицах банка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 в полгода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11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Сведения о связанных с банком лицах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 Краткие сведения об активных операциях со связанными с банком лицами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календарных дней со дня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Б. Общие сведения об операциях со связанными с банком лицами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В. Сведения о близких родственниках должностных лиц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 Сведения о других связанных с банком лицах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Д. Сведения о юридических лицах, в которых должностные лица банка и их близкие родственники или другие связанные с банком лица обладают контролем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 в полгода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календарных дней со дня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12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Анализ чувствительности активов и обязательств банка к изменению ставок доходности на рынке и сроки погашения активов/обязательств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 Анализ чувствительности активов и обязательств банка к изменению ставок доходности на рынке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Ежеквартально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календарных дней со дня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Б. Срок погашения активов/обязательств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13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Счета клиентов с разбивкой по суммам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календарных дней со дня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14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Сведения о соблюдении экономических нормативов и требования о поддержке дополнительного запаса капитала банка (индекс "буфер капитала")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календарных дней со дня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Приложение 1 Положения "Об экономических нормативах и требованиях, обязательных для выполнения коммерческими банками Кыргызской Республики"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 Ежедневный отчет о соблюдении норматива максимального размера риска на одного заемщика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Ежедневно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9.00 по состоянию на конец последнего операционного дня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Б. Отчет о соблюдении экономических нормативов достаточности (адекватности) капитала и норматива (показателя) ликвидности и требования о поддержке дополнительного запаса капитала банка (индекс "буфер капитала")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календарных дней со дня окончания отчетного периода 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В. Ежедневный отчет о соблюдении норматива максимального размера риска по срочным счетам и прочим обязательствам перед физическими лицами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Ежедневно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9.00 по состоянию на конец последнего операционного дня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 Отчет о соблюдении норматива максимального размера риска по счетам до востребования физических лиц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Д. Отчет о выполнении требований Национального банка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Е. Отчет о соблюдении норматива (показателя) краткосрочной ликвидности (К3.2)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Еженедельно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9.00 в первый рабочий день недели, следующей за отчетной неделей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Ж. Ежедневный отчет о соблюдении норматива (показателя) мгновенной ликвидности (К3.3)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Ежедневно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9.00 по состоянию на конец последнего операционного дня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З. Информация об объеме финансирования, предоставленного членам ГСО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календарных дней со дня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15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Расчет капитала банка
 1.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Портфель ценных бумаг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 Финансирование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 Финансирование (продолжение)/прочие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 Забалансовые 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 Субординированный долг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7. Капитал и коэффициенты адекватности капитала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календарных дней со дня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Инструкция по определению стандартов достаточности (адекватности) капитала банков, осуществляющих операции в соответствии с исламскими принципами банковского дела и финансирования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16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Отчет об открытых валютных позициях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Ежедневно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9.00 по состоянию на конец последнего операционного дня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Приложение к инструкции "О порядке соблюдения лимитов открытой валютной позиции банками, осуществляющими операции в соответствии с исламскими принципами банковского дела и финансирования"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17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Сведения об операциях банка по доверительному управлению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Ежеквартально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календарных дней со дня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18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сведения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A. Среднее значение активов и обязательств за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Б. Прочие сведения о деятельности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B. О персонале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 Сведения по клиентам с наибольшими оборотами по счетам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Д. Сведения о количестве и сумме сообщений в СФР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Е. Информация по прочей собственности (недвижимое имущество), принятой коммерческими банками на баланс в счет погашения задолженности по проблемным кредитам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Ежеквартально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Ж. Сведения по остаткам денежных средств на счетах государственных предприятий, хозяйствующих субъектов с государственной долей участия, органов государственной власти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З. Информация по максимальной и минимальной наценке по действующему финансированию и депозитам, включая установленные на индивидуальной основе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И. Информация о риск-событиях банка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19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Услуги банков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Если тарифы банка в головном офисе и всех его филиалах одинаковы, то составляется единый отчет на ежемесячной основе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 Основные услуги банков в головных офисах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 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5 числа месяца, следующего за отчетным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Б. Услуги банков в разрезе по филиалам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10 числа месяца, следующего за отчетным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В. Вознаграждение (наценка), начисленное на денежные средства, привлеченные (размещенные) в соответствии с исламскими принципами финансирования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5 числа месяца, следующего за отчетным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 Наценка по видам финансирования в процентах от суммы финансирования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5 числа месяца, следующего за отчетным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20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Операции с дорожными чеками и по эмиссии/ эквайрингу карт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 Операции с дорожными чеками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ежеквартально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10 числа месяца, следующего за отчетным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Б1. Операции по эмиссии/ эквайрингу карт (физические лица)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15 числа месяца, следующего за отчетным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Б2. Операции по эмиссии/ эквайрингу карт (юридические лица)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15 числа месяца, следующего за отчетным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В. Периферийные устройства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15 числа месяца, следующего за отчетным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21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Информация о платежах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 Внутрифилиальные исходящие платежи клиентов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ежеквартально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10 числа месяца, следующего за отчетным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Б. Внутрибанковские межфилиальные платежи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ежеквартально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10 числа месяца, следующего за отчетным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В. Межбанковские платежи банка в разрезе по филиалам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ежеквартально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10 числа месяца, следующего за отчетным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 Платежи по видам платежных инструментов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 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 - до 15 числа месяца, следующего за отчетным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Г1. Электронные платежи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 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 - до 15 числа месяца, следующего за отчетным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Д. Трансграничные денежные переводы по видам систем в разрезе государств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10 числа месяца, следующего за отчетным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Е. Трансграничные денежные переводы по видам систем в разрезе по областям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ежеквартально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10 числа месяца, следующего за отчетным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Ж. Трансграничные платежи по видам систем и в разрезе стран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ежеквартально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10 числа месяца, следующего за отчетным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З. Отчет о количестве и объемах платежей (переводов) в платежной системе (ПС)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ежеквартально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15 числа месяца, следующего за отчетным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И. Отчет о количестве и объемах платежей (переводов), не принятых в обработку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ежеквартально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15 числа месяца, следующего за отчетным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К. Отчет о нештатных ситуациях в системе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10 числа месяца, следующего за отчетным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Л. Отчет о мошеннических транзакциях в системе за __________ месяц 20__ г.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10 числа месяца, следующего за отчетным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22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Отчет об операциях с иностранной валютой </w:t>
            </w:r>
          </w:p>
        </w:tc>
        <w:tc>
          <w:tcPr>
            <w:tcW w:type="dxa" w:w="14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ежедневно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11.00 утра</w:t>
            </w:r>
          </w:p>
        </w:tc>
        <w:tc>
          <w:tcPr>
            <w:tcW w:type="dxa" w:w="30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 Отчет об операциях с безналичной иностранной валютой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Б. Отчет об операциях с наличной иностранной валютой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В. Отчет об операциях с наличной иностранной валютой в обменных бюро, обслуживаемых коммерческим банком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23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Сведения об операциях на межбанковском кредитном рынке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еженедельно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Каждую пятницу до 10.00 утра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24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Отчет о привлеченных и размещенных денежных средствах и применяемых вознаграждении/ наценке </w:t>
            </w:r>
          </w:p>
        </w:tc>
        <w:tc>
          <w:tcPr>
            <w:tcW w:type="dxa" w:w="14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5 числа месяца, следующего за отчетным</w:t>
            </w:r>
          </w:p>
        </w:tc>
        <w:tc>
          <w:tcPr>
            <w:tcW w:type="dxa" w:w="30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 Финансирование, предоставленное на конец периода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Б. Финансирование, предоставленное за период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В. Остаток средств на счетах клиентов на конец периода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 Поступление средств на счета клиентов за период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25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Сведения о привлеченных денежных средствах от клиентов в разрезе отраслей экономики 
 А. Остаток средств на счетах клиентов в разрезе отраслей экономики на конец периода 
 Б. Средства, привлеченные на счета клиентов в разрезе отраслей экономики за период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ежеквартально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10 числа месяца, следующего за отчетным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26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Форма отчетности по международным операциям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ежеквартально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20 числа месяца, следующего за отчетным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27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Сведения о назначении платежей в банках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 Форма ПБ - 1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15 числа месяца, следующего за отчетным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Б. Форма ПБ - 2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ежеквартально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15 числа месяца, следующего за отчетным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28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Ежедневный отчет об активах, обязательствах и капитале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ежедневно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12.00 следующего рабочего дня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29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Отчет о кассовых оборотах за месяц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4 числа месяца, следующего за отчетным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30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Отчет о кассовых оборотах за неделю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еженедельно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Каждую пятницу до 14.00 дня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Отчет содержит информацию об объемах поступивших и выданных наличных денег за отчетную неделю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31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Ежедневный пробный баланс 
 А. Ежедневный пробный баланс 
 Б. Ежедневный пробный валютный баланс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ежедневно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12 часов дня следующего рабочего дня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Положение "О требованиях к формированию финансовой отчетности коммерческих банков, осуществляющих операции в соответствии с исламскими принципами банковского дела и финансирования", утвержденное постановлением Правления НБКР № 47/3 от 25.11.2009 г.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ПЕРИОДИЧЕСКИЙ РЕГУЛЯТИВНЫЙ ОТЧЕТ ИСЛАМСКОГО БАНКА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постановлений Правления Нацбанка КР от </w:t>
      </w:r>
      <w:hyperlink w:history="1" r:id="rIdbyxlnz4_u5ammqqukou-h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23 декабря 2015 года № 78/23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28 сентября 2016 года № 40/3, 16 ноября 2016 года № 44/3, </w:t>
      </w:r>
      <w:hyperlink w:history="1" r:id="rIdlgq5nnxrsvligxvnhxnk0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15 июня 2017 года № 2017-П-12/25-5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jfdnfkhu6efjwgypsh5hp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августа 2017 года № 2017-П-12/34-1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27 сентября 2017 года № 2017-П-10/42-4, </w:t>
      </w:r>
      <w:hyperlink w:history="1" r:id="rIdd9ccb1yz8wa608jd3mndy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13 декабря 2017 года № 2017-П-12/51-13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wuvpykyaqubsdtneshars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10 апреля 2019 года № 2019-П-12/19-3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25 сентября 2019 года № 2019-П-12/49-4, 11 декабря 2019 года № 2019-П-10/62-3, 20 января 2021 года № 2021-П-10/2-1, 15 сентября 2021 года № 2021-П-12/51-2, </w:t>
      </w:r>
      <w:hyperlink w:history="1" r:id="rIdobotjm2uzgrlzwde7_c8x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15 декабря 2021 года № 2021-П-12/70-3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bqvbd7cfmvgrfq05fskjx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29 декабря 2021 года № 2021-П-12/75-3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Примечание 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приложения 2 представлен в редакции, утвержденной постановлением Правления Нацбанка КР от 30 марта 2011 года № 20/4.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Бумажные варианты в архиве МЮ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ogmnh4mqnpdkgbbxt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dalil.kg/document/302408</w:t>
      </w:r>
    </w:hyperlink>
  </w:p>
  <w:p>
    <w:pPr>
      <w:spacing w:after="0" w:before="40"/>
      <w:jc w:val="center"/>
    </w:pPr>
    <w:hyperlink w:history="1" r:id="rId_jowdjsflj8h2q_qcpj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0jvxsqfu1qqmwyprqsy5" Type="http://schemas.openxmlformats.org/officeDocument/2006/relationships/hyperlink" Target="https://dalil.kg/document/800021" TargetMode="External"/><Relationship Id="rIdln0q1f7m3ck9udtex_swz" Type="http://schemas.openxmlformats.org/officeDocument/2006/relationships/hyperlink" Target="https://dalil.kg/document/302407" TargetMode="External"/><Relationship Id="rIdqgggitusgeh7dwyuyoppy" Type="http://schemas.openxmlformats.org/officeDocument/2006/relationships/hyperlink" Target="https://dalil.kg/document/302520" TargetMode="External"/><Relationship Id="rIdui4yswlfdupy0oetpoane" Type="http://schemas.openxmlformats.org/officeDocument/2006/relationships/hyperlink" Target="https://dalil.kg/document/800007" TargetMode="External"/><Relationship Id="rIdls5mrqmgdheute6axptmf" Type="http://schemas.openxmlformats.org/officeDocument/2006/relationships/hyperlink" Target="https://dalil.kg/document/800008" TargetMode="External"/><Relationship Id="rIdirajxxppsbcenq-5-tc0n" Type="http://schemas.openxmlformats.org/officeDocument/2006/relationships/hyperlink" Target="https://dalil.kg/document/800013" TargetMode="External"/><Relationship Id="rIdxskgqx1qrkgrr3e_ajqew" Type="http://schemas.openxmlformats.org/officeDocument/2006/relationships/hyperlink" Target="https://dalil.kg/document/800014" TargetMode="External"/><Relationship Id="rId0n2xnrpdek-yy1jhf_b7h" Type="http://schemas.openxmlformats.org/officeDocument/2006/relationships/hyperlink" Target="https://dalil.kg/document/800031" TargetMode="External"/><Relationship Id="rIddzcl-ihqea90d4y8pv3fz" Type="http://schemas.openxmlformats.org/officeDocument/2006/relationships/hyperlink" Target="https://dalil.kg/document/800257" TargetMode="External"/><Relationship Id="rIdmwwpfy6eyeyudh3ud9os1" Type="http://schemas.openxmlformats.org/officeDocument/2006/relationships/hyperlink" Target="https://dalil.kg/document/880804" TargetMode="External"/><Relationship Id="rIdjhp1zd-2p40sechhcqazd" Type="http://schemas.openxmlformats.org/officeDocument/2006/relationships/hyperlink" Target="https://dalil.kg/document/880805" TargetMode="External"/><Relationship Id="rIdf6mnbnwc6wus6ch1gyd8d" Type="http://schemas.openxmlformats.org/officeDocument/2006/relationships/hyperlink" Target="https://dalil.kg/document/800021" TargetMode="External"/><Relationship Id="rIdkvmx_6x5l5yf_ymqglleu" Type="http://schemas.openxmlformats.org/officeDocument/2006/relationships/hyperlink" Target="https://dalil.kg/document/800013" TargetMode="External"/><Relationship Id="rIduk65vndcj3jqffdrcotua" Type="http://schemas.openxmlformats.org/officeDocument/2006/relationships/hyperlink" Target="https://dalil.kg/document/111486" TargetMode="External"/><Relationship Id="rId0kt33ynuly__zxszf8n58" Type="http://schemas.openxmlformats.org/officeDocument/2006/relationships/hyperlink" Target="https://dalil.kg/document/800013" TargetMode="External"/><Relationship Id="rIdsppt9-kxkubtqnhe3gwad" Type="http://schemas.openxmlformats.org/officeDocument/2006/relationships/hyperlink" Target="https://dalil.kg/document/302408#pr1" TargetMode="External"/><Relationship Id="rIdpz3ys3uncflndxhy3kftn" Type="http://schemas.openxmlformats.org/officeDocument/2006/relationships/hyperlink" Target="https://dalil.kg/document/880804" TargetMode="External"/><Relationship Id="rIdaqw35pffobht-esradj94" Type="http://schemas.openxmlformats.org/officeDocument/2006/relationships/hyperlink" Target="https://dalil.kg/document/300274" TargetMode="External"/><Relationship Id="rIdch9ar0rgs1ougtzp20fax" Type="http://schemas.openxmlformats.org/officeDocument/2006/relationships/hyperlink" Target="https://dalil.kg/document/300273" TargetMode="External"/><Relationship Id="rIdek0zda9savpzwtzts7okj" Type="http://schemas.openxmlformats.org/officeDocument/2006/relationships/hyperlink" Target="https://dalil.kg/document/880804" TargetMode="External"/><Relationship Id="rId5h_a2a-ldebcqifyosamh" Type="http://schemas.openxmlformats.org/officeDocument/2006/relationships/hyperlink" Target="https://dalil.kg/document/880804" TargetMode="External"/><Relationship Id="rId07axtyaoyor1aufsdernh" Type="http://schemas.openxmlformats.org/officeDocument/2006/relationships/hyperlink" Target="https://dalil.kg/document/880804" TargetMode="External"/><Relationship Id="rIdmwrepohk6thzvszhscbvh" Type="http://schemas.openxmlformats.org/officeDocument/2006/relationships/hyperlink" Target="https://dalil.kg/document/800008" TargetMode="External"/><Relationship Id="rIdvm_zdw_5dnffdt7qinidn" Type="http://schemas.openxmlformats.org/officeDocument/2006/relationships/hyperlink" Target="https://dalil.kg/document/800007" TargetMode="External"/><Relationship Id="rId_zljurbnvtmalapvdkrpk" Type="http://schemas.openxmlformats.org/officeDocument/2006/relationships/hyperlink" Target="https://dalil.kg/document/800013" TargetMode="External"/><Relationship Id="rId9_oa2nbp4wbpmqcmkwn5l" Type="http://schemas.openxmlformats.org/officeDocument/2006/relationships/hyperlink" Target="https://dalil.kg/document/800014" TargetMode="External"/><Relationship Id="rIdewdd88ejwubtmxwnympl6" Type="http://schemas.openxmlformats.org/officeDocument/2006/relationships/hyperlink" Target="https://dalil.kg/document/800257" TargetMode="External"/><Relationship Id="rIdbyxlnz4_u5ammqqukou-h" Type="http://schemas.openxmlformats.org/officeDocument/2006/relationships/hyperlink" Target="https://dalil.kg/document/800007" TargetMode="External"/><Relationship Id="rIdlgq5nnxrsvligxvnhxnk0" Type="http://schemas.openxmlformats.org/officeDocument/2006/relationships/hyperlink" Target="https://dalil.kg/document/800013" TargetMode="External"/><Relationship Id="rIdjfdnfkhu6efjwgypsh5hp" Type="http://schemas.openxmlformats.org/officeDocument/2006/relationships/hyperlink" Target="https://dalil.kg/document/800014" TargetMode="External"/><Relationship Id="rIdd9ccb1yz8wa608jd3mndy" Type="http://schemas.openxmlformats.org/officeDocument/2006/relationships/hyperlink" Target="https://dalil.kg/document/800031" TargetMode="External"/><Relationship Id="rIdwuvpykyaqubsdtneshars" Type="http://schemas.openxmlformats.org/officeDocument/2006/relationships/hyperlink" Target="https://dalil.kg/document/800257" TargetMode="External"/><Relationship Id="rIdobotjm2uzgrlzwde7_c8x" Type="http://schemas.openxmlformats.org/officeDocument/2006/relationships/hyperlink" Target="https://dalil.kg/document/880805" TargetMode="External"/><Relationship Id="rIdbqvbd7cfmvgrfq05fskjx" Type="http://schemas.openxmlformats.org/officeDocument/2006/relationships/hyperlink" Target="https://dalil.kg/document/800021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ogmnh4mqnpdkgbbxtvj" Type="http://schemas.openxmlformats.org/officeDocument/2006/relationships/hyperlink" Target="https://dalil.kg/document/302408" TargetMode="External"/><Relationship Id="rId_jowdjsflj8h2q_qcpj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2026-09-25T02:58:00.254Z</dcterms:created>
  <dcterms:modified xsi:type="dcterms:W3CDTF">2026-09-25T02:58:00.254Z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