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мая 2011 года № 30/2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 новой редакции Положения о порядке проведения аукциона по размещению государственных казначейских векселей Кыргызской Республики через НБКР" от 19 сентября 2007 года № 42/4</w:t>
      </w:r>
    </w:p>
    <w:p>
      <w:pPr>
        <w:spacing w:after="120"/>
        <w:jc w:val="both"/>
      </w:pPr>
      <w:r>
        <w:rPr>
          <w:rFonts w:ascii="Arial" w:cs="Arial" w:eastAsia="Arial" w:hAnsi="Arial"/>
          <w:sz w:val="24"/>
          <w:szCs w:val="24"/>
        </w:rPr>
        <w:t xml:space="preserve">В соответствии со статьями 7 и 43 Закона Кыргызской Республики "</w:t>
      </w:r>
      <w:hyperlink w:history="1" r:id="rIdptyenh2__zd3fw3rul4uy">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dk-dip6uwmatx4yvh2l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новой редакции </w:t>
      </w:r>
      <w:hyperlink w:history="1" r:id="rIdjpote4zecnquzn4fsun5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аукциона по размещению государственных казначейских векселей Кыргызской Республики через НБКР" от 19.09.07 года № 42/4, зарегистрированное в Министерстве юстиции Кыргызской Республики 26 октября 2007 года, регистрационный номер 102-07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с момента официального опубликования.</w:t>
      </w:r>
    </w:p>
    <w:p>
      <w:pPr>
        <w:spacing w:after="120"/>
        <w:jc w:val="both"/>
      </w:pPr>
      <w:r>
        <w:rPr>
          <w:rFonts w:ascii="Arial" w:cs="Arial" w:eastAsia="Arial" w:hAnsi="Arial"/>
          <w:sz w:val="24"/>
          <w:szCs w:val="24"/>
        </w:rPr>
        <w:t xml:space="preserve">3.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Правления Национального</w:t>
      </w:r>
      <w:r>
        <w:rPr>
          <w:rFonts w:ascii="Arial" w:cs="Arial" w:eastAsia="Arial" w:hAnsi="Arial"/>
          <w:sz w:val="24"/>
          <w:szCs w:val="24"/>
        </w:rPr>
        <w:t xml:space="preserve">	</w:t>
      </w:r>
      <w:r>
        <w:rPr>
          <w:rFonts w:ascii="Arial" w:cs="Arial" w:eastAsia="Arial" w:hAnsi="Arial"/>
          <w:sz w:val="24"/>
          <w:szCs w:val="24"/>
        </w:rPr>
        <w:t xml:space="preserve">Б.Жеенбаева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w:t>
      </w:r>
    </w:p>
    <w:p>
      <w:pPr>
        <w:spacing w:after="120"/>
        <w:jc w:val="both"/>
      </w:pPr>
      <w:r>
        <w:rPr>
          <w:rFonts w:ascii="Arial" w:cs="Arial" w:eastAsia="Arial" w:hAnsi="Arial"/>
          <w:sz w:val="24"/>
          <w:szCs w:val="24"/>
        </w:rPr>
        <w:t xml:space="preserve">в постановление Правления Национального банка Кыргызской Республики № 42/4 от 19.09.2007 г. "О новой редакции Положения "О порядке проведения аукциона по размещению государственных казначейских векселей Кыргызской Республики через Национальный банк Кыргызской Республики", зарегистрированного в Министерстве юстиции Кыргызской Республики 26.10.2007 года, регистрационный номер 102-07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i0th-yc59y6cjdxwsvec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аукциона по размещению государственных казначейских векселей Кыргызской Республики через НБКР", зарегистрированного в Министерстве юстиции Кыргызской Республики 26.10.2007 года, регистрационный номер 102-07, следующие изменения и дополнения:</w:t>
      </w:r>
    </w:p>
    <w:p>
      <w:pPr>
        <w:spacing w:after="120"/>
        <w:jc w:val="both"/>
      </w:pPr>
      <w:r>
        <w:rPr>
          <w:rFonts w:ascii="Arial" w:cs="Arial" w:eastAsia="Arial" w:hAnsi="Arial"/>
          <w:sz w:val="24"/>
          <w:szCs w:val="24"/>
        </w:rPr>
        <w:t xml:space="preserve">1. Дополнить "Термины и определения" следующим термином: "Дополнительное (внеаукционное) размещение ГКВ - неконкурентная продажа ГКВ".</w:t>
      </w:r>
    </w:p>
    <w:p>
      <w:pPr>
        <w:spacing w:after="120"/>
        <w:jc w:val="both"/>
      </w:pPr>
      <w:r>
        <w:rPr>
          <w:rFonts w:ascii="Arial" w:cs="Arial" w:eastAsia="Arial" w:hAnsi="Arial"/>
          <w:sz w:val="24"/>
          <w:szCs w:val="24"/>
        </w:rPr>
        <w:t xml:space="preserve">2. Дополнить </w:t>
      </w:r>
      <w:hyperlink w:history="1" r:id="rIdpggafs2c1xkxmolzu92o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Главой 3-1 "Порядок проведения дополнительного размещения ГКВ" и изложить ее в следующей редакции:</w:t>
      </w:r>
    </w:p>
    <w:p>
      <w:pPr>
        <w:spacing w:after="120"/>
        <w:jc w:val="both"/>
      </w:pPr>
      <w:r>
        <w:rPr>
          <w:rFonts w:ascii="Arial" w:cs="Arial" w:eastAsia="Arial" w:hAnsi="Arial"/>
          <w:sz w:val="24"/>
          <w:szCs w:val="24"/>
        </w:rPr>
        <w:t xml:space="preserve">"3-1.1. Дополнительное размещение ГКВ осуществляется Национальным банком по поручению Эмитента.</w:t>
      </w:r>
    </w:p>
    <w:p>
      <w:pPr>
        <w:spacing w:after="120"/>
        <w:jc w:val="both"/>
      </w:pPr>
      <w:r>
        <w:rPr>
          <w:rFonts w:ascii="Arial" w:cs="Arial" w:eastAsia="Arial" w:hAnsi="Arial"/>
          <w:sz w:val="24"/>
          <w:szCs w:val="24"/>
        </w:rPr>
        <w:t xml:space="preserve">3-1.2. Информация о параметрах дополнительного размещения ГКВ публикуется Национальным банком Кыргызской Республики на веб-сайте Национального банка Кыргызской Республики и в электронной торговой системе.</w:t>
      </w:r>
    </w:p>
    <w:p>
      <w:pPr>
        <w:spacing w:after="120"/>
        <w:jc w:val="both"/>
      </w:pPr>
      <w:r>
        <w:rPr>
          <w:rFonts w:ascii="Arial" w:cs="Arial" w:eastAsia="Arial" w:hAnsi="Arial"/>
          <w:sz w:val="24"/>
          <w:szCs w:val="24"/>
        </w:rPr>
        <w:t xml:space="preserve">3-1.3. Дополнительное размещение ГКВ производится вне электронной торговой системы на основе документарных заявок, согласно форме приложения 2 к настоящему </w:t>
      </w:r>
      <w:hyperlink w:history="1" r:id="rId5ke5lud1aiviadowpk4z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Заявка должна быть запечатана в непрозрачный конверт. Порядок подачи и регистрации заявок на дополнительное размещение ГКВ аналогичен порядку предоставления заявок на аукцион ГКВ, согласно п.2.3 настоящего </w:t>
      </w:r>
      <w:hyperlink w:history="1" r:id="rIddtnj-wbujeeoegkz2bdl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Право участия в дополнительном размещении ГКВ имеют прямые участники. Непрямые участники, принимают участие в дополнительном размещении ГКВ, подавая заявки через первичного дилера Национального банка Кыргызской Республики.</w:t>
      </w:r>
    </w:p>
    <w:p>
      <w:pPr>
        <w:spacing w:after="120"/>
        <w:jc w:val="both"/>
      </w:pPr>
      <w:r>
        <w:rPr>
          <w:rFonts w:ascii="Arial" w:cs="Arial" w:eastAsia="Arial" w:hAnsi="Arial"/>
          <w:sz w:val="24"/>
          <w:szCs w:val="24"/>
        </w:rPr>
        <w:t xml:space="preserve">3-1.5. Прямые участники - коммерческие банки могут подать как собственную заявку, так и клиентскую заявку. Прямые участники - Социальный фонд Кыргызской Республики и Агентство по защите депозитов Кыргызской Республики могут подать только собственную заявку.</w:t>
      </w:r>
    </w:p>
    <w:p>
      <w:pPr>
        <w:spacing w:after="120"/>
        <w:jc w:val="both"/>
      </w:pPr>
      <w:r>
        <w:rPr>
          <w:rFonts w:ascii="Arial" w:cs="Arial" w:eastAsia="Arial" w:hAnsi="Arial"/>
          <w:sz w:val="24"/>
          <w:szCs w:val="24"/>
        </w:rPr>
        <w:t xml:space="preserve">3-1.6. Прямые участники в день проведения дополнительного размещения ГКВ подают заявку в НБКР до 12:00 ч. Поданная заявка является безотзывной.</w:t>
      </w:r>
    </w:p>
    <w:p>
      <w:pPr>
        <w:spacing w:after="120"/>
        <w:jc w:val="both"/>
      </w:pPr>
      <w:r>
        <w:rPr>
          <w:rFonts w:ascii="Arial" w:cs="Arial" w:eastAsia="Arial" w:hAnsi="Arial"/>
          <w:sz w:val="24"/>
          <w:szCs w:val="24"/>
        </w:rPr>
        <w:t xml:space="preserve">3-1.7. Заявка должна быть заверена подписью уполномоченного лица и печатью прямого участника. Заявка в обязательном порядке должна содержать дату подачи заявки, официальное наименование прямого участника, дату проведения дополнительного размещения, регистрационный номер выпуска ГКВ, количество покупаемых ГКВ, цену и стоимость покупки. Цена и стоимость покупки должны указываться с точностью до тыйын.</w:t>
      </w:r>
    </w:p>
    <w:p>
      <w:pPr>
        <w:spacing w:after="120"/>
        <w:jc w:val="both"/>
      </w:pPr>
      <w:r>
        <w:rPr>
          <w:rFonts w:ascii="Arial" w:cs="Arial" w:eastAsia="Arial" w:hAnsi="Arial"/>
          <w:sz w:val="24"/>
          <w:szCs w:val="24"/>
        </w:rPr>
        <w:t xml:space="preserve">3-1.8. Заявки, заполненные с нарушением порядка оформления, признаются недействительными и к дополнительному размещению не допускаются. Национальный банк Кыргызской Республики уведомляет прямых участников, чьи заявки не были допущены к дополнительному размещению ГКВ о причинах их недопуска не позднее следующего рабочего дня после проведения дополнительного размещения ГКВ.</w:t>
      </w:r>
    </w:p>
    <w:p>
      <w:pPr>
        <w:spacing w:after="120"/>
        <w:jc w:val="both"/>
      </w:pPr>
      <w:r>
        <w:rPr>
          <w:rFonts w:ascii="Arial" w:cs="Arial" w:eastAsia="Arial" w:hAnsi="Arial"/>
          <w:sz w:val="24"/>
          <w:szCs w:val="24"/>
        </w:rPr>
        <w:t xml:space="preserve">3-1.9. НБКР обеспечивает конфиденциальность сведений, указанных в заявке прямого участника, за исключением случаев раскрытия информации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3-1.10. Собственная заявка прямого участника должна быть не менее 100000 сом по номинальной стоимости, количество ценных бумаг должно быть кратно 10. Максимальный объем собственной заявки по номинальной стоимости не должен превышать объема дополнительного размещения ГКВ по соответствующему выпуску.</w:t>
      </w:r>
    </w:p>
    <w:p>
      <w:pPr>
        <w:spacing w:after="120"/>
        <w:jc w:val="both"/>
      </w:pPr>
      <w:r>
        <w:rPr>
          <w:rFonts w:ascii="Arial" w:cs="Arial" w:eastAsia="Arial" w:hAnsi="Arial"/>
          <w:sz w:val="24"/>
          <w:szCs w:val="24"/>
        </w:rPr>
        <w:t xml:space="preserve">3-1.11. Ограничение на минимальный объем заявки, поданной от одного клиента, не устанавливается. Максимальный объем заявки, поданной от одного клиента, не должен превышать объема объявленного дополнительного размещения ГКВ.</w:t>
      </w:r>
    </w:p>
    <w:p>
      <w:pPr>
        <w:spacing w:after="120"/>
        <w:jc w:val="both"/>
      </w:pPr>
      <w:r>
        <w:rPr>
          <w:rFonts w:ascii="Arial" w:cs="Arial" w:eastAsia="Arial" w:hAnsi="Arial"/>
          <w:sz w:val="24"/>
          <w:szCs w:val="24"/>
        </w:rPr>
        <w:t xml:space="preserve">3-1.12. В случае, если объем спроса по поданным заявкам прямых участников превышает объем дополнительного размещения ГКВ, то распределение ценных бумаг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3-1.13. Результаты дополнительного размещения ГКВ доводятся до сведения прямых участников не позднее 15:30 ч. дня проведения дополнительного размещения ГКВ согласно форме приложения 4 настоящего </w:t>
      </w:r>
      <w:hyperlink w:history="1" r:id="rIddhqjavfskd-7qbvqxqpz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3-1.14. Сводная информация о результатах проведенного дополнительного размещения ГКВ направляется Эмитенту до конца 17.30 ч. дня проведения дополнительного размещения.</w:t>
      </w:r>
    </w:p>
    <w:p>
      <w:pPr>
        <w:spacing w:after="120"/>
        <w:jc w:val="both"/>
      </w:pPr>
      <w:r>
        <w:rPr>
          <w:rFonts w:ascii="Arial" w:cs="Arial" w:eastAsia="Arial" w:hAnsi="Arial"/>
          <w:sz w:val="24"/>
          <w:szCs w:val="24"/>
        </w:rPr>
        <w:t xml:space="preserve">3-1.15. Сводные результаты дополнительного размещения ГКВ публикуются в периодических изданиях и на веб-сайте Национального банка Кыргызской Республики.".</w:t>
      </w:r>
    </w:p>
    <w:p>
      <w:pPr>
        <w:spacing w:after="120"/>
        <w:jc w:val="both"/>
      </w:pPr>
      <w:r>
        <w:rPr>
          <w:rFonts w:ascii="Arial" w:cs="Arial" w:eastAsia="Arial" w:hAnsi="Arial"/>
          <w:sz w:val="24"/>
          <w:szCs w:val="24"/>
        </w:rPr>
        <w:t xml:space="preserve">3. Пункт 4.2 Главы 4 изложить в следующей редакции "Прямые участники в день выпуска ГКВ обеспечивают достаточный объем денежных средств, для оплаты выигранной заявки на аукционе ГКВ и/или дополнительном размещении ГКВ".</w:t>
      </w:r>
    </w:p>
    <w:p>
      <w:pPr>
        <w:spacing w:after="120"/>
        <w:jc w:val="both"/>
      </w:pPr>
      <w:r>
        <w:rPr>
          <w:rFonts w:ascii="Arial" w:cs="Arial" w:eastAsia="Arial" w:hAnsi="Arial"/>
          <w:sz w:val="24"/>
          <w:szCs w:val="24"/>
        </w:rPr>
        <w:t xml:space="preserve">4. В пункте 4.3 Главы 4 по всему тексту пункта слова "аукциона" заменить словами "аукциона/дополнительного размещения". В третьем предложении данного пункта после слова "дополнительного размещения ГКВ" дополнить словами "не позднее 1 рабочего дня, следующего за днем выпуска ГКВ".</w:t>
      </w:r>
    </w:p>
    <w:p>
      <w:pPr>
        <w:spacing w:after="120"/>
        <w:jc w:val="both"/>
      </w:pPr>
      <w:r>
        <w:rPr>
          <w:rFonts w:ascii="Arial" w:cs="Arial" w:eastAsia="Arial" w:hAnsi="Arial"/>
          <w:sz w:val="24"/>
          <w:szCs w:val="24"/>
        </w:rPr>
        <w:t xml:space="preserve">5. В пункте 4.4 Главы 4 после слов "аукциона/е" дополнить словами "дополнительного/ом размещения/ии".</w:t>
      </w:r>
    </w:p>
    <w:p>
      <w:pPr>
        <w:spacing w:after="120"/>
        <w:jc w:val="both"/>
      </w:pPr>
      <w:r>
        <w:rPr>
          <w:rFonts w:ascii="Arial" w:cs="Arial" w:eastAsia="Arial" w:hAnsi="Arial"/>
          <w:sz w:val="24"/>
          <w:szCs w:val="24"/>
        </w:rPr>
        <w:t xml:space="preserve">6. Дополнить </w:t>
      </w:r>
      <w:hyperlink w:history="1" r:id="rId4oxkrfxd1cmpfedzcsyb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с приложениями 3 и 4 (прилагаются).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w:t>
      </w:r>
    </w:p>
    <w:p>
      <w:pPr>
        <w:spacing w:after="120"/>
        <w:jc w:val="both"/>
      </w:pPr>
      <w:r>
        <w:rPr>
          <w:rFonts w:ascii="Arial" w:cs="Arial" w:eastAsia="Arial" w:hAnsi="Arial"/>
          <w:sz w:val="24"/>
          <w:szCs w:val="24"/>
        </w:rPr>
        <w:t xml:space="preserve">на участие в дополнительном размещении ГКВ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прямого участника дополнительного размещения], именуемое в дальнейшем "Участник", выражает готовность участвовать на проводимом [дата проведения дополнительного размещения] дополнительном размещении ГКВ выпуска ______________ [регистрационный номер] на следующих условиях:</w:t>
      </w:r>
    </w:p>
    <w:p>
      <w:pPr>
        <w:spacing w:after="120"/>
        <w:jc w:val="both"/>
      </w:pPr>
      <w:r>
        <w:rPr>
          <w:rFonts w:ascii="Arial" w:cs="Arial" w:eastAsia="Arial" w:hAnsi="Arial"/>
          <w:sz w:val="24"/>
          <w:szCs w:val="24"/>
        </w:rPr>
        <w:t xml:space="preserve">От своего имени: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8"/>
        <w:gridCol w:w="3114"/>
        <w:gridCol w:w="3306"/>
      </w:tblGrid>
      <w:tr>
        <w:tc>
          <w:tcPr>
            <w:tcW w:type="dxa" w:w="37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покупки за 1 ГКВ (сом)</w:t>
            </w:r>
          </w:p>
        </w:tc>
        <w:tc>
          <w:tcPr>
            <w:tcW w:type="dxa" w:w="3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ГКВ (штук)</w:t>
            </w:r>
          </w:p>
        </w:tc>
        <w:tc>
          <w:tcPr>
            <w:tcW w:type="dxa" w:w="3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покупки (сом)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Собственная заявка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имени своих клиентов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8"/>
        <w:gridCol w:w="3114"/>
        <w:gridCol w:w="3306"/>
      </w:tblGrid>
      <w:tr>
        <w:tc>
          <w:tcPr>
            <w:tcW w:type="dxa" w:w="37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Цена покупки за 1 ГКВ (сом)</w:t>
            </w:r>
          </w:p>
        </w:tc>
        <w:tc>
          <w:tcPr>
            <w:tcW w:type="dxa" w:w="3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ГКВ (штук)</w:t>
            </w:r>
          </w:p>
        </w:tc>
        <w:tc>
          <w:tcPr>
            <w:tcW w:type="dxa" w:w="3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покупки (сом)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Клиентская заявка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 дает право Национальному</w:t>
      </w:r>
    </w:p>
    <w:p>
      <w:pPr>
        <w:spacing w:after="120"/>
        <w:jc w:val="both"/>
      </w:pPr>
      <w:r>
        <w:rPr>
          <w:rFonts w:ascii="Arial" w:cs="Arial" w:eastAsia="Arial" w:hAnsi="Arial"/>
          <w:sz w:val="24"/>
          <w:szCs w:val="24"/>
        </w:rPr>
        <w:t xml:space="preserve">(наименование прямого участника)(**)</w:t>
      </w:r>
    </w:p>
    <w:p>
      <w:pPr>
        <w:spacing w:after="120"/>
        <w:jc w:val="both"/>
      </w:pPr>
      <w:r>
        <w:rPr>
          <w:rFonts w:ascii="Arial" w:cs="Arial" w:eastAsia="Arial" w:hAnsi="Arial"/>
          <w:sz w:val="24"/>
          <w:szCs w:val="24"/>
        </w:rPr>
        <w:t xml:space="preserve">банку Кыргызской Республики произвести списание со своего корсчета по результатам дополнительного размещения ГКВ в день выпуска ГКВ.</w:t>
      </w:r>
    </w:p>
    <w:p>
      <w:pPr>
        <w:spacing w:after="120"/>
        <w:jc w:val="both"/>
      </w:pPr>
      <w:r>
        <w:rPr>
          <w:rFonts w:ascii="Arial" w:cs="Arial" w:eastAsia="Arial" w:hAnsi="Arial"/>
          <w:sz w:val="24"/>
          <w:szCs w:val="24"/>
        </w:rPr>
        <w:t xml:space="preserve">Участник ознакомлен с правилами проведения дополнительного размещения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Участником, являющимся первичным дилером НБКР, при наличии клиентской заявки.</w:t>
      </w:r>
    </w:p>
    <w:p>
      <w:pPr>
        <w:spacing w:after="120"/>
        <w:jc w:val="both"/>
      </w:pPr>
      <w:r>
        <w:rPr>
          <w:rFonts w:ascii="Arial" w:cs="Arial" w:eastAsia="Arial" w:hAnsi="Arial"/>
          <w:sz w:val="24"/>
          <w:szCs w:val="24"/>
        </w:rPr>
        <w:t xml:space="preserve">(**) За исключением Агентства защиты депозитов при МФКР и Социального фонда КР. Агентство защиты депозитов при МФКР и Социальный фонд КР производят оплату по результатам дополнительного размещения ГКВ в день выпуска ГКВ, путем перечисления денежных средств на счет Центрального Казначейства в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Национальный банк Кыргызской Республики уведомляет, что по итогам дополнительного размещения ГКВ, состоявшегося "___" _____________ 20__ г. ваша заявка удовлетворена в следующих объемах: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1494"/>
        <w:gridCol w:w="1494"/>
        <w:gridCol w:w="1494"/>
        <w:gridCol w:w="1494"/>
        <w:gridCol w:w="1494"/>
        <w:gridCol w:w="1494"/>
      </w:tblGrid>
      <w:tr>
        <w:tc>
          <w:tcPr>
            <w:tcW w:type="dxa" w:w="12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выпуска</w:t>
            </w:r>
          </w:p>
        </w:tc>
        <w:tc>
          <w:tcPr>
            <w:tcW w:type="dxa" w:w="2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банка</w:t>
            </w:r>
          </w:p>
        </w:tc>
        <w:tc>
          <w:tcPr>
            <w:tcW w:type="dxa" w:w="2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клиентов</w:t>
            </w:r>
          </w:p>
        </w:tc>
        <w:tc>
          <w:tcPr>
            <w:tcW w:type="dxa" w:w="2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(шт.)</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	</w:t>
      </w:r>
      <w:r>
        <w:rPr>
          <w:rFonts w:ascii="Arial" w:cs="Arial" w:eastAsia="Arial" w:hAnsi="Arial"/>
          <w:sz w:val="24"/>
          <w:szCs w:val="24"/>
        </w:rPr>
        <w:t xml:space="preserve">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dqcb1gz8hgnawakn4k">
      <w:r>
        <w:rPr>
          <w:rFonts w:ascii="Arial" w:cs="Arial" w:eastAsia="Arial" w:hAnsi="Arial"/>
          <w:color w:val="132D3F"/>
          <w:sz w:val="16"/>
          <w:szCs w:val="16"/>
          <w:u w:val="single"/>
        </w:rPr>
        <w:t xml:space="preserve">dalil.kg/document/302409</w:t>
      </w:r>
    </w:hyperlink>
  </w:p>
  <w:p>
    <w:pPr>
      <w:spacing w:after="0" w:before="40"/>
      <w:jc w:val="center"/>
    </w:pPr>
    <w:hyperlink w:history="1" r:id="rIdcghuzvnhx3kchqrp8vl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yenh2__zd3fw3rul4uy" Type="http://schemas.openxmlformats.org/officeDocument/2006/relationships/hyperlink" Target="https://dalil.kg/document/559" TargetMode="External"/><Relationship Id="rIddk-dip6uwmatx4yvh2llh" Type="http://schemas.openxmlformats.org/officeDocument/2006/relationships/hyperlink" Target="https://dalil.kg/document/300719" TargetMode="External"/><Relationship Id="rIdjpote4zecnquzn4fsun56" Type="http://schemas.openxmlformats.org/officeDocument/2006/relationships/hyperlink" Target="https://dalil.kg/document/300720" TargetMode="External"/><Relationship Id="rIdi0th-yc59y6cjdxwsvecd" Type="http://schemas.openxmlformats.org/officeDocument/2006/relationships/hyperlink" Target="https://dalil.kg/document/300720" TargetMode="External"/><Relationship Id="rIdpggafs2c1xkxmolzu92ow" Type="http://schemas.openxmlformats.org/officeDocument/2006/relationships/hyperlink" Target="https://dalil.kg/document/300720" TargetMode="External"/><Relationship Id="rId5ke5lud1aiviadowpk4zh" Type="http://schemas.openxmlformats.org/officeDocument/2006/relationships/hyperlink" Target="https://dalil.kg/document/300720" TargetMode="External"/><Relationship Id="rIddtnj-wbujeeoegkz2bdlv" Type="http://schemas.openxmlformats.org/officeDocument/2006/relationships/hyperlink" Target="https://dalil.kg/document/300720" TargetMode="External"/><Relationship Id="rIddhqjavfskd-7qbvqxqpzn" Type="http://schemas.openxmlformats.org/officeDocument/2006/relationships/hyperlink" Target="https://dalil.kg/document/300720" TargetMode="External"/><Relationship Id="rId4oxkrfxd1cmpfedzcsybs" Type="http://schemas.openxmlformats.org/officeDocument/2006/relationships/hyperlink" Target="https://dalil.kg/document/30072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dqcb1gz8hgnawakn4k" Type="http://schemas.openxmlformats.org/officeDocument/2006/relationships/hyperlink" Target="https://dalil.kg/document/302409" TargetMode="External"/><Relationship Id="rIdcghuzvnhx3kchqrp8vl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2026-09-25T10:18:37.698Z</dcterms:created>
  <dcterms:modified xsi:type="dcterms:W3CDTF">2026-09-25T10:18:37.698Z</dcterms:modified>
</cp:coreProperties>
</file>

<file path=docProps/custom.xml><?xml version="1.0" encoding="utf-8"?>
<Properties xmlns="http://schemas.openxmlformats.org/officeDocument/2006/custom-properties" xmlns:vt="http://schemas.openxmlformats.org/officeDocument/2006/docPropsVTypes"/>
</file>