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</w:t>
      </w:r>
      <w:r>
        <w:rPr>
          <w:rFonts w:ascii="Arial" w:cs="Arial" w:eastAsia="Arial" w:hAnsi="Arial"/>
          <w:sz w:val="24"/>
          <w:szCs w:val="24"/>
        </w:rPr>
        <w:t xml:space="preserve">
 о работе банков с ценными бумагами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pkq3kclkblfbwhkkt6e-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2012 года № 8/2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njpslfebnochx_ferq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2012 года № 43/1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8vawezlm5ueyljiina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2015 года № 16/2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klpmrz4bwaf6hx2o2y9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2016 года № 7/2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xenedt-smramklrkjz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августа 2018 года № 2018-П-33/33-8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"О работе банков с ценными бумагами" (далее по тексту - Положение) распространяется на коммерческие банки Кыргызской Республики, Государственный банк развития Кыргызской Республики и микрофинансовые компании, привлекающие депозиты (далее по тексту - банки).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понятия, применяемые в рамках настоящего Положения: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ценные бумаги</w:t>
      </w:r>
      <w:r>
        <w:rPr>
          <w:rFonts w:ascii="Arial" w:cs="Arial" w:eastAsia="Arial" w:hAnsi="Arial"/>
          <w:sz w:val="24"/>
          <w:szCs w:val="24"/>
        </w:rPr>
        <w:t xml:space="preserve"> - это ценные бумаги, выпущенные Правительством Кыргызской Республики и Национальным банком Кыргызской Республики (далее - Национальный банк);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рыночные ценные бумаги</w:t>
      </w:r>
      <w:r>
        <w:rPr>
          <w:rFonts w:ascii="Arial" w:cs="Arial" w:eastAsia="Arial" w:hAnsi="Arial"/>
          <w:sz w:val="24"/>
          <w:szCs w:val="24"/>
        </w:rPr>
        <w:t xml:space="preserve"> - это ценные бумаги, которые обращаются на развитом, эффективном, транспарентном рынке ценных бумаг, позволяющем определить справедливую стоимость этих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портфель ценных бумаг</w:t>
      </w:r>
      <w:r>
        <w:rPr>
          <w:rFonts w:ascii="Arial" w:cs="Arial" w:eastAsia="Arial" w:hAnsi="Arial"/>
          <w:sz w:val="24"/>
          <w:szCs w:val="24"/>
        </w:rPr>
        <w:t xml:space="preserve"> - совокупность различных видов ценных бумаг, находящихся в собственности или управлении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брокер</w:t>
      </w:r>
      <w:r>
        <w:rPr>
          <w:rFonts w:ascii="Arial" w:cs="Arial" w:eastAsia="Arial" w:hAnsi="Arial"/>
          <w:sz w:val="24"/>
          <w:szCs w:val="24"/>
        </w:rPr>
        <w:t xml:space="preserve"> - профессиональный участник рынка ценных бумаг, в том числе и банк, имеющий лицензию на осуществление профессиональной деятельности на рынке ценных бумаг, совершающий сделки с ценными бумагами, по поручению, за счет и в интересах клиентов, на основании соответствующего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дилер</w:t>
      </w:r>
      <w:r>
        <w:rPr>
          <w:rFonts w:ascii="Arial" w:cs="Arial" w:eastAsia="Arial" w:hAnsi="Arial"/>
          <w:sz w:val="24"/>
          <w:szCs w:val="24"/>
        </w:rPr>
        <w:t xml:space="preserve"> - профессиональный участник рынка ценных бумаг, в том числе и банк, имеющий лицензию на осуществление профессиональной деятельности на рынке ценных бумаг, совершающий сделки с ценными бумагами от своего имени и за свой счет с целью получения прибыли в результате последующей перепродажи ценных бумаг или совершения иных сделок с ними;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депозитарий ценных бумаг</w:t>
      </w:r>
      <w:r>
        <w:rPr>
          <w:rFonts w:ascii="Arial" w:cs="Arial" w:eastAsia="Arial" w:hAnsi="Arial"/>
          <w:sz w:val="24"/>
          <w:szCs w:val="24"/>
        </w:rPr>
        <w:t xml:space="preserve"> - профессиональный участник рынка ценных бумаг, в том числе и банк, имеющий лицензию на осуществление профессиональной деятельности на рынке ценных бумаг, осуществляющий регистрацию прав и (или) перехода прав на ценные бумаги и учет, и (или) хранение этих ценных бумаг и денежных средств, предназначенных для осуществления сделок, а также вырученных от совершения сделок на основании договора с собственником или номинальным держателем этих ценных бумаг (депозитарный договор).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Положение определяет порядок работы банков с ценными бумагами, минимальные требования к отчетности и системе внутреннего контроля при работе с ценными бумагами, требования к брокеру/дилеру/депозитарию, с которым банк осуществляет операции и сделки с ценными бумагами, определяет ответственность должностных лиц и сотрудников банка при работе с ценными бумагами, а также устанавливает основные правила разработки инвестиционной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 вправе проводить операции и сделки с ценными бумагами при соблюдении условий и требований, изложенных в настоящем Положении.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Ответственность Совета директоров и Правления банка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Совет директоров и Правление банка несут ответственность за соблюдение банком требований и ограничений, установленных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Все члены Совета директоров, независимо от квалификации и закрепленных функций внутри банка, несут ответственность за исполнение требований, установленных законодательством, в том числе за принятие политики осуществления деятельности с ценными бумагами, установление требований к выбору брокеров, дилеров, депозитариев и других контрагентов банка, и должны убедиться в наличии у соответствующих сотрудников банка необходимых навыков управления рисками. В целях надлежащего осуществления своих функций Совет директоров должен утвердить инвестиционную политику банка, периодически анализировать деятельность банка с ценными бумагами и установить ограничения по рискам. Совет директоров должен быть компетентным в вопросах осуществления деятельности банка с ценными бумагами и должен обеспечить независимую проверку данной деятельности путем проведения внутреннего аудита.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Правление банка несет ответственность за ежедневное управление деятельностью с ценными бумагами, наличие компетентного и хорошо обученного персонала, обеспечение исполнения соответствующих политик и процедур, представление отчетности Совету директоров, организацию системы внутреннего контроля, предусматривающую разделение обязанностей сотрудников, осуществляющих работу с ценными бумагами, строгое соблюдение ограничений по рискам, а также обеспечивающую независимую оценку системы внутреннего контроля. Правлением банка должны быть утверждены внутренние документы (положения, указания, процедуры и т.д.) по организации и порядку работы с ценными бумагами (по осуществлению операций и сделок с ценными бумагами, по их хранению и т.д.), по недопущению конфликта интересов, организации системы внутреннего контроля с четким указанием полномочий и функциональных обязанностей каждого сотрудника. Сотрудники банка должны понимать характер и уровни различных рисков, связанных с операциями и сделками банка, и то, каким образом эти риски согласовываются с общей бизнес стратегией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целях эффективного внутреннего контроля деятельности банка с ценными бумагами, Правление банка должно руководить текущей деятельностью в соответствии со стратегией развития банка, утвержденной Советом директоров, соблюдая установленные ограничения по рискам. Ограничения по рискам должны соответствовать стратегическим планам банка и общим целям управления активами/обязательствами с учетом рисков деятельности банка в целом, портфеля ценных бумаг, каждой ценной бумаги в отдельности и т.д. Ограничения должны устанавливаться по рыночному риску, кредитному риску, риску ликвидности и по иным видам рисков Положению о минимальных требованиях по управлению рисками в банках Кыргызской Республики, утверждаемому постановлением Правления Национального банка (далее - Положение о минимальных требованиях по управлению рисками в банках Кыргызской Республики). Руководство банка также должно установить надлежащее разделение ответственности дилерской деятельности (фронт-офис) и бухгалтерской обработки сделок (бэк-офис) в целях обеспечения бесперебойного операционного функционирования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Совокупный лимит по операциям и сделкам с ценными бумагами устанавливается Советом директоров банка. Приобретение ценных бумаг, стоимость которых превышает установленные в инвестиционной политике банка лимиты, должно быть утверждено Правлением банка с последующим одобрением Советом директоров.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Руководство банка периодически, но не реже одного раза в год, проводит обзор политики, положений и внутренних процедур, касающихся инвестиционной деятельности банка, работы с ценными бумагами, системы внутреннего контроля на предмет их соответствия требованиям законодательства Кыргызской Республики, стратегии деятельности банка, с учетом влияния внешних и внутренних факторов, и при необходимости принимает соответствующие коррективные меры.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Ответственность Совета директоров и Правления банка не может быть возложена на других лиц, независимо от наличия профессиональных консультаций, полученных указанными органами управления банка. Неэффективный надзор за деятельностью банка с ценными бумагами со стороны Совета директоров и Правления банка признается небезопасной и нездоровой банковской практикой.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Инвестиционная политика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Инвестиционная политика банка должна описывать инвестиционную и торговую стратегии банка и их цель, раскрывать мероприятия по эффективному управлению и контролю соответствующих рисков, а также должна содержать, как минимум,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описание действий по приобретению ценных бумаг (удержание до погашения, торговля) и их цель (например, поддержание ликвидности, получение дохода, соблюдение залоговых требований и т.п.);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порядок внутреннего лимитирования полномочий по принятию инвестиционных и торговых решений. Для этих целей банкам рекомендуется создать Инвестиционный комитет, который будет наделен определенными полномочиями и степенью ответственности, либо наделить этими полномочиями и соответствующей степенью ответственности Комитет по управлению активами и пассивами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каждый член уполномоченного комитета, участвующий в принятии решения, должен: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осведомленным о сути рассматриваемого вопроса;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осознавать влияние принимаемых им решений на деятельность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оценивать возможность возникновения рисков и последствий принимаемых им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Мнение члена комитета, имеющего замечания и предложения по рассматриваемому вопросу и не согласного с принятым решением, должно быть выражено при голосовании и отражено в протоколе. Протокол должен быть подписан всеми членами комитета, присутствовавшими на заседании, и секретарем комитета. Члены комитета, не принимавшие участие на заседании, должны быть ознакомлены с протоколом и принятыми решениями под роспись;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определение вида и качества ценных бумаг, которые следует держать в портфеле (например, в политике может быть записано: "Допускается вложение средств в правительственные казначейские векселя и в долговые ценные бумаги частных эмитентов, кредитный рейтинг которых не ниже категории "Ваа2");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указания по правовому, финансовому и качественному анализу инвестиционных возможностей банка с учетом прогнозных значений показателей финансового рынка, эмитента, деятельности брокера/дилера/депозитария, с которым банк планирует взаимодействовать, включая виды финансовой информации, необходимой для целей анализа;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требования по диверсификации риска по видам, качеству, эмитентам, географическому распределению, по установлению лимитов по различному виду рисков согласно Положению о минимальных требованиях по управлению рисками в банках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четкое распределение полномочий и ответственности сотрудников банка, участвующих в операциях с ценными бумагами;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минимальные квалификационные требования к персоналу, осуществляющему работу с ценными бумагами. Банку необходимо иметь персонал, который способен провести анализ эмитента и дать рекомендации по принятию решений. Сотрудники банка, имеющие отношение к операциям с ценными бумагами, должны владеть достоверной и исчерпывающей информацией о том виде ценных бумаг, в которые банк инвестировал или планирует инвестировать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требования к системе внутреннего контроля, позволяющей своевременно выявлять и эффективно управлять рисками, связанными с размещением средств в ценные бумаги, с операциями и сделками с ценными бумагами, с взаимодействием с брокером/дилером/депозитарием, другими контрагентами и клиентами банка. При этом в данной части инвестиционной политики должны быть описаны: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организации внутреннего контроля, устанавливающей полномочия и ответственность должностных лиц банка по принятию решений, порядок взаимодействия и подотчетности между лицами и подразделениями, вовлеченными в процесс осуществления операций и сделок с ценными бумагами;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управленческой информационной системе по оценке эффективности портфеля (виды отчетов и их периодичность), нацеленной на информирование Совета директоров и Правления сотрудниками банка о существующих недостатках и проблемах, о возможных рисках в деятельности банка по работе с ценными бумагами;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приостановления операций и сделок с ценными бумагами, при наличии сведений об участии брокера/дилера/депозитария, других контрагентов и клиентов банка в операциях и сделках, которые могут привести к нарушению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проведения мониторинга и оценки рисков при осуществлении операций и сделок с ценными бумагами;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контроля и мониторинга за соблюдением банком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меры по предотвращению возможного сговора между участниками системы внутреннего контроля и возникновения конфликта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запрета на исполнение одним и тем же лицом обязанностей одновременно во фронт- и бэк-офисах и подразделениях, осуществляющих мониторинг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проверки своевременности, правильности, полноты и точности отражения проведенных операций с ценными бумагами в учете и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основные принципы выбора внешних брокеров, дилеров и депозитариев.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x_lqxpq-yojdf105mb8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2012 года № 8/2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Система внутреннего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банке должна быть организована система внутреннего контроля согласно требованиям настоящего Положения. Структура внутреннего контроля банка чрезвычайно важна для надежного и безопасного осуществления им своей инвестиционной деятельности. Адекватная система внутреннего контроля способствует осуществлению эффективных операций, надежности финансовой и регулятивной отчетности, соблюдению законодательства и внутренних документов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Операции с ценными бумагами должны быть функционально разделены между исполнителями заключения сделок и исполнителями их бухгалтерской обработки. Каждому банку следует придерживаться, как минимум, следующих рекомендаций: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четко определить функциональное разграничение дилерской деятельности (фронт-офис) и бухгалтерской обработки сделок (бэк-офис). На всех стадиях заключения, контроля и бухгалтерской обработки сделки должен быть использован принцип "четырех глаз", то есть, как минимум, два лица должны осуществлять контроль за исполнением 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оценка стоимости и анализ каждой ценной бумаги должны проводиться на основе легитимной, достоверной и актуальной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сотрудник фронт-офиса, заключающий сделку, не имеет права единолично давать указания на осуществление бухгалтерской обработки сделки без заверяющей подписи контролера, обмениваться подтверждениями по заключенной сделке с контрагентом, осуществлять бухгалтерскую обработку сделки;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сотрудник бэк-офиса не имеет право заключать сделку (сделки) на покупку или продажу ценных бумаг. Сотрудник, осуществляющий бухгалтерскую обработку сделки, должен проводить сверку условий сделки с подтверждающими документами контрагента;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сотрудниками бэк-офиса по всем операциям должно быть получено независимое от исполнителей фронт-офиса подтверждение от контрагента, и проведена его сверка с условиями сделки;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клиринг и платежи по ценным бумагам должны регулярно, с периодичностью, установленной внутренними положениями (процедурами) банка, подвергаться сверкам и аудиту, которые осуществляются сотрудниками, не участвующими в торговых операциях или их учете;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если банк выступает в роли брокера: банк должен открыть счет для каждого из клиентов и вести регистрационные записи, включая все случаи покупки или продажи ценных бумаг, виды ценных бумаг, даты проведения сделки, цену и количество проданных/купленных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учет ценных бумаг, принадлежащих банку должен осуществляться отдельно от учета ценных бумаг, принадлежащих клиентам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Работники банка, осуществляющие операции с ценными бумагами, не могут использовать служебное положение для собственной выгоды, вступая в личные отношения с лицами, которые участвуют в операциях с ценными бумагами, осуществляемых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Приобретение банком ценных бумаг должно осуществляться после проведения предварительного анализа котировок на рынке ценных бумаг, также должен быть проведен тщательный анализ ценной бумаги, ее эмитента и рисков, с которыми связано приобретение и/или владение такой бумагой, с учетом требований Положения о минимальных требованиях по управлению рисками в банках Кыргызской Республики. Такой анализ должен основываться на текущей финансовой информации, отчетах по рейтингам и сведениях о листинге на фондовой бирже (если таковые имеются), информации, представленной в соответствующих информационных аналитических системах (как например Reuters или Bloomberg) и других необходимых источниках. Однако, для приобретения высокорейтинговых, высоколиквидных ценных бумаг, включенных в листинги фондовых бирж, в том числе международных и обращающихся на развитых фондовых рынках ценных бумаг (стран, включенных в список агентства Standard &amp; Poor's "The S&amp;P Global BMI (Broad Market Index)"), обоснование об инвестиционной привлекательности ценных бумаг может основываться на анализе информации, полученной от третьих лиц (аналитических компаний, рейтинговых агентств, брокерских компаний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предполагается приобретение ценной бумаги, выпущенной эмитентом - нерезидентом Кыргызской Республики анализ должен также включать достаточный объем информации о зарубежной стране и оценку странового риска. Банк должен владеть достаточной для принятия решений информацией о законодательстве, а также практике регулирования соответствующих зарубежных рынков ценных бумаг и деятельности их профессиональных участников рынка ценных бумаг. При необходимости банку рекомендуется обращаться за консультацией к юристу и специалисту по рынку ценных бумаг, имеющим опыт и знания в данной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покупке-продаже государственных ценных бумаг Кыргызской Республики, банки должны соблюдать настоящее Положение в части, не противоречащей соответствующим нормативным правовым актам Национального банка и уполномоченного государственного органа по регулированию рынка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банке должно быть сформировано досье с документами по ценным бумагам,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финансовом состоянии эмитента, подтвержденную финансовыми отчетами с заключением внешнего аудита за последние три годовых отчета;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соответствующие подтверждающие документы о выпуске каждой ценной бумаги, являющейся предметом сделки, с информацией об обязательствах эмитента по данным ценным бумагам, о совершении сделки с ценными бумагами (в том числе проспект эмиссии, выписки по счетам в реестре держателей ценных бумаг, сертификаты и/или выписки по счетам депо у депозитария, договор купли-продажи, копия платежного поручения);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котировок на рынке ценных бумаг и прогнозной стоимости приобретаемой ценной бумаги;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оценку финансового состояния эмитента и ценной бумаги, рисков, с которыми связано приобретение и/или владение такой ценной бумагой, возможностей исполнения эмитентом обязательств по ценным бумагам с учетом требований Положения о минимальных требованиях по управлению рисками в банках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юридическое заключение по приобретению ценной бумаги;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должностного лица по ПОД/ФТЭ на предмет причастности эмитента и выпущенных им ценных бумаг к операциям, несущим риск легализации (отмывания) преступных доходов, согласно соответствующим нормативным правовым актам в сфере противодействия легализации (отмыванию) преступных доходов и финансированию террористической или экстремистской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заседания Правления или соответствующего уполномоченного органа банка, который должен отражать соответствующее обсуждение,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характеристик приобретаемых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приобретения/продажи;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изложение причин, по которым приобретение или продажа именно данных ценных бумаг (бумаги) наилучшим образом служит интересам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os-4drur_gynx0wl9qz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2016 года № 7/2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Банк должен соблюдать нормативные правовые акты Кыргызской Республики в отношении регистрационных записей по ценным бумагам и, как минимум, вести записи с учетом следующего: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каждому документу на покупку-продажу ценной бумаги присваивается уникальный код (регистрационный номер) с параллельным ведением записи в регистрационном журнале.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 должен содержать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куплена ли ценная бумага за счет клиента или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операции (продажа/покупка);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цена сделки;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получения документа на заключение сделки;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исполнения документа на заключение сделки;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ценной бумаги (вид ценной бумаги, дата погашения, процентная ставка/доходность, эмитент, купонная ставка, номинальная стоимость);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дилера/брокера;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(ФИО) клиента;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инструкции по доставке/оплате;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условия, предусмотренные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каждом банке должны вестись журналы регистрации сделок по ценным бумагам, содержащие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покупателя/продавца;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адрес (название страны и города) стороны, которой ценная бумага должна быть передана или от которой она должна быть получена;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ценной бумаги;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официальный номер ценной бумаги;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операции или подтверждения;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покупки-продажи;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номинальная стоимость;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стоимость покупки-продажи;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номинальная цена за единицу, дисконт, доходность;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организации, осуществляющей хранение ценных бумаг (название и адрес организации, ФИО руководителя, N лицензии).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Управленческая информационная система должна быть достаточно детализированной, чтобы обеспечивать ответственных лиц информацией, необходимой для осуществления должного учета, мониторинга и контроля портфеля ценных бумаг. Помимо вышеприведенной информации, сведения о портфеле должны, как минимум, включать разделение ценных бумаг по виду (облигации, векселя и т.д.), рейтингу (если присвоен), номинальной и рыночной стоимости, датам сделки, процентной ставке, дисконту, доходности. Такие сведения необходимо готовить отдельно по ценным бумагам, удерживаемым до погашения, по торговым ценным бумагам и по ценным бумагам для продажи. В инвестиционной политике должна быть указана периодичность оценки (соответствие классификации должно оцениваться не реже одного раза в месяц, для целей отчетности).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банках должна быть установлена система безопасности, обеспечивающая сохранность информации, указанной в настоящем разделе. Хранить информацию следует не менее пяти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совмещении банком деятельности брокера и дилера, сделки осуществляемые по поручению клиентов, во всех случаях подлежат приоритетному исполнению по сравнению с дилерскими операциями самого банка. При этом банк вправе осуществлять профессиональную деятельность на рынке ценных бумаг только при наличии лицензии на эту деятельность согласно законодательству и в соответствии с нормативными правовыми актами, регулирующими профессиональную деятельность на рынке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Проверка и оценка управления рисками портфеля ценных бумаг должны проводиться на регулярной основе службой внутреннего аудита в целях обеспечения его полноты, точности и обоснованности. Масштаб программы проверки и оценки должен соответствовать размеру и сложности инвестиционной деятельности банка, и должен быть нацелен на оценку достаточности системы управления рисками, своевременности, точности и полезности системы отчетности, оценку кадровых ресурсов и возможностей, соблюдения законодательства Кыргызской Республики и нормативных правовых актов Национального банка, оценку эффективности системы внутреннего контроля, практики бухгалтерского учета и делопроизводства, оценку конфликта интересов. Результаты проверок должны напрямую представляться Совету директоров. Совет директоров банка несет ответственность за обеспечение своевременных корректирующих мер.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Ограничения по операциям с ценными бумагами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Банк не может передавать физическим лицам полномочия на совершение любых действий с ценными бумагами, в том числе по доверительному управлению.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Банк не может осуществлять операции и сделки с документарными ценными бумагами, выпущенными эмитентами - нерезидентами Кыргызской Республики, в том числе связанные с принятием банком ценных бумаг под залоговое обеспечение.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Банк может приобретать акции частных эмитентов только в случае включения эмитента в листинг фондовой биржи по наивысшей и следующей за наивысшей категориям (для частных эмитентов - резидентов Кыргызской Республики), а также только в случае наличия у эмитента рейтинга долгосрочной кредитоспособности категории не ниже наивысшей и следующей за наивысшей, присвоенного рейтинговым агентством Moody's Investors Service (США) или эквивалентного рейтинга, присвоенного рейтинговыми агентствами Standard &amp; Poors (США), Fitch IBCA (Великобритания).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Банки могут осуществлять операции и сделки с негосударственными долговыми ценными бумагами, выпущенными: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эмитентом - нерезидентом Кыргызской Республики, при условии наличия рейтинга долгосрочной кредитоспособности не ниже категории "Ваа2", присвоенного рейтинговым агентством Moody's Investors Service (США) или эквивалентного рейтинга, присвоенного рейтинговыми агентствами Standard &amp; Poors (США), Fitch IBCA (Великобритания) , "</w:t>
      </w:r>
      <w:r>
        <w:rPr>
          <w:rFonts w:ascii="Arial" w:cs="Arial" w:eastAsia="Arial" w:hAnsi="Arial"/>
          <w:sz w:val="24"/>
          <w:szCs w:val="24"/>
        </w:rPr>
        <w:t xml:space="preserve">Japan Credit Rating Agency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JCR</w:t>
      </w:r>
      <w:r>
        <w:rPr>
          <w:rFonts w:ascii="Arial" w:cs="Arial" w:eastAsia="Arial" w:hAnsi="Arial"/>
          <w:sz w:val="24"/>
          <w:szCs w:val="24"/>
        </w:rPr>
        <w:t xml:space="preserve">)", "</w:t>
      </w:r>
      <w:r>
        <w:rPr>
          <w:rFonts w:ascii="Arial" w:cs="Arial" w:eastAsia="Arial" w:hAnsi="Arial"/>
          <w:sz w:val="24"/>
          <w:szCs w:val="24"/>
        </w:rPr>
        <w:t xml:space="preserve">Dominion Bond Rating Service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DBRS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эмитентом - резидентом Кыргызской Республики, при условии, что данный эмитент: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деятельность не менее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устойчивое финансовое состояние (безубыточное), подтвержденное финансовой отчетностью за последние три года, заверенной независимой аудиторской организацией (внешним аудитором), и положительные финансовые долгосрочные перспективы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Приобретение банком ценных бумаг Правительств и Центральных банков других государств может осуществляться при условии, что они имеют долгосрочный суверенный кредитный рейтинг не ниже уровня "А", присвоенный рейтинговым агентством "Standard &amp; Poor's" или равнозначный рейтинг, присвоенный одним из рейтинговых агентств "Japan Credit Rating Agency (JCR)", "Fitch Ratings", "Dominion Bond Rating Service (DBRS)" и "Moody's Investors Service" или являющихся членами ОЭСР, и при этом общий размер инвестиций банка в ценные бумаги должен составлять не более 100% размера чистого суммарного капитала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ОЭСР - Организация экономического сотрудничества и развития. Перечень государств-членов ОЭСР размещен на официальном сайте </w:t>
      </w:r>
      <w:r>
        <w:rPr>
          <w:rFonts w:ascii="Arial" w:cs="Arial" w:eastAsia="Arial" w:hAnsi="Arial"/>
          <w:sz w:val="24"/>
          <w:szCs w:val="24"/>
        </w:rPr>
        <w:t xml:space="preserve">www.oecd.org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Общий размер инвестиций банка в негосударственные долговые ценные бумаги не должен превышать 50% размера чистого суммарного капитала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Представление и публикация отчетности о выполнении банком нормативов, указанных в пунктах 26 и 27 настоящего Положения, осуществляется в соответствии с Положением об экономических нормативах и требованиях, обязательных для выполнения банками Кыргызской Республики, утвержденным Правлением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сроки представления и публикации отчетности о выполнении микрофинансовой компанией, привлекающей депозиты, указанных в пунктах 26 и 27 настоящего Положения, устанавливаются в соответствии с правилами регулирования деятельности микрофинансовых компаний на территории Кыргызской Республики, утвержденными Правлением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gpkgfku0fiynvtby8oz8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2012 года № 43/1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xdiw5gq1snb2ajibog5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2015 года № 16/2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наличии ограничений по привлечению депозитов банк не вправе выпускать долговые ценные бумаги, в том числе векселя.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Банк может выпускать долговые ценные бумаги, при условии, что в течение последних 12 месяцев, предшествующих дате принятия решения банком о выпуске ценных бумаг, банк: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экономические нормативы по адекватности капитала банка и иные обязательные к соблюдению банками нормы и лимиты, установленные Национальным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выполнил рекомендации и требования Национального банка по итогам инспекторской проверки и текущего надзора за деятельностью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имел, примененных к нему со стороны Национального банка мер воздействия, предусмотренных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любого из вышеперечисленных условий, банк не вправе выпускать долговые ценные бумаги, в том числе векселя.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Квалификация банковского персонала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банке должны быть утвержденные положения о структурных подразделениях и должностные инструкции сотрудников банка, на которых будут возложены функции по осуществлению деятельности на рынке ценных бумаг, в том числе по проведению операций и сделок с ценными бумагами, по взаимодействию с брокерами, дилерами, депозитариями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Сотрудники банка должны соответствовать минимальным квалификационным требованиям. Руководство банка ответственно за то, чтобы все сотрудники, занятые в дилерских и брокерских операциях, обладали необходимой квалификацией.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банка, непосредственно осуществляющие работу в качестве брокера/дилера должны иметь: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соответствующие сертификаты (свидетельства), необходимые для проведения операций на рынке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опыт работы в банковской системе не менее двух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как минимум два сотрудника банка (основной и дублер), непосредственно занятые в дилерских и брокерских операциях, должны иметь квалификационное свидетельство уполномоченного государственного органа по рынку ценных бумаг и опыт практической работы в данной сфере не менее одного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соответствия сотрудников данным требованиям банкам рекомендуется проводить кадровую политику, направленную на повышение квалификации сотрудников через обучение на соответствующих курсах, семинарах, а также использовать практику наставничества.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Требования к внешнему брокеру/дилеру/депозитарию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недостатке собственного опыта банк может воспользоваться услугами внешнего брокера/дилера/депозитария. Совет директоров и Правление банка несут полную ответственность за контроль и управление портфелем ценных бумаг. Поэтому, необходимо уделить этому вопросу особое внимание.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инвестиционной политике банка должны быть определены критерии отбора брокера/дилера/депозитария, в том числе оценки финансовой отчетности каждого брокера/дилера/депозитария и оценки его способности выполнить свои обязательства. Банк не должен осуществлять операции по ценным бумагам с брокером/дилером/депозитарием, который не желает полностью и своевременно предоставить и раскрыть информацию о своем финансовом положении. Если объем операций значителен и существует целесообразность разделения операций между несколькими брокерами/дилерами/депозитариями, то в таком случае Правление должно установить ограничения по суммам и видам операций, утвержденным для каждого брокера/дилера/депозитария. Решение о выборе брокера/дилера/депозитария должно быть подписано всеми членами Правления банка и доведено до сведения членов Совета директоров. Правление должно периодически проверять и повторно утверждать перечень уполномоченных брокеров/дилеров/депозитариев. Перечень уполномоченных брокеров/дилеров/депозитариев должен доводиться до сведения Совета директоров банка не реже одного раза в квартал.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выборе брокера/дилера/депозитария по ценным бумагам банки должны соблюдать следующие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брокер/дилер/депозитарий, с которым банк осуществляет операции и сделки с ценными бумагами (за исключением государственных ценных бумаг) эмитентов - резидентов Кыргызской Республики должен: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являться юридическим лицом;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лицензию на осуществление профессиональной деятельности на рынке ценных бумаг, предусмотренную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профессиональную деятельность на рынке ценных бумаг не менее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устойчивое финансовое состояние, подтвержденное финансовой отчетностью за последние три года, заверенной независимой аудиторской организацией (внешним аудитором);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нормативы и иные критерии финансовой устойчивости, установленные уполномоченным государственным органом, регулирующим рынок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размер оплаченного собственного капитала, в сумме не менее 3 млн. 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должны отсутствовать факты, свидетельствующие о ненадлежащей деловой репутации брокера/дилера/депозитария и должно быть подтверждение, что к ним за последние три года осуществления профессиональной деятельности на рынке ценных бумаг не применялись меры воздействия, предусмотренные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брокер/дилер/депозитарий, с которым банк осуществляет операции и сделки с ценными бумагами эмитентов - нерезидентов Кыргызской Республики должен: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являться юридическим лицом;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лицензию на осуществление профессиональной деятельности на рынке ценных бумаг, предусмотренную законодательством, соответствующей юрисдикции;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профессиональную деятельность на рынке ценных бумаг не менее 5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устойчивое финансовое состояние, подтвержденное финансовой отчетностью за последние три года, заверенной независимой аудиторской организацией (внешним аудитором);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нормативы и иные критерии финансовой устойчивости, установленные уполномоченным государственным органом, регулирующим рынок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размер оплаченного собственного капитала, в сумме не менее 3 млн. долларов США;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подтверждение рейтинга долгосрочной кредитоспособности не ниже категории "Ваа2", присвоенного рейтинговым агентством Moody's Investors Service (США) или эквивалентного рейтинга, присвоенного рейтинговыми агентствами Standard &amp; Poors (США), Fitch IBCA (Великобритания).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должны отсутствовать факты, свидетельствующие о ненадлежащей деловой репутации брокера/дилера/депозитария и должно быть подтверждение, что к ним за последние три года осуществления профессиональной деятельности на рынке ценных бумаг не применялись меры воздействия, предусмотренные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банк также должен: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изучить репутацию брокера/дилера в части того, что касается его честности, добросовестности и профессиональной квалификации посредством общения с его коллегами и клиентами и сбора соответствующей информации из государственных и негосударственных источников;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запросить информацию у Центральных банков, уполномоченных государственных органов по рынку ценных бумаг и соответствующих должностных лиц в зарубежных странах, чтобы убедиться в том, что у брокера/дилера/депозитария имеется соответствующая лицензия, а также с целью получения иной информации, которая может оказаться полезной в процессе выбора брокера/дилера/депозитария.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Депозитарный договор, кроме соответствующих прав и обязанностей сторон, должен включать условия хранения и учета, а также требования к реестру (какого рода информация должна быть отражена в выписке из реестра, периодичность получения, требования в отношении подтверждения).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Предоставление информации об операциях с ценными бумагами в Национальный банк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Банк обязан незамедлительно (в день, когда банку стало известно) представить в Национальный банк в письменном виде: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информацию о ценных бумагах, выбывших из владения их законных держателей, в том числе клиентов банков;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сведения о фактах утраты (по любым основаниям, в том числе выбытие из владения путем потери), хищения, кражи, мошенничества, присвоения, растраты ценных бумаг и др.;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информацию обо всех обременениях на ценные бумаги, в том числе блокирование, арест ценных бумаг, наличие притязаний на ценную бумагу третьих лиц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До осуществления операций и сделок с любыми ценными бумагами, выпущенными эмитентами - нерезидентами Кыргызской Республики, и негосударственными ценными бумагами, выпущенными эмитентами - резидентами Кыргызской Республики, банки должны представить в соответствующее структурное подразделение Национального банка Национального банка следующую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утвержденный Правлением банка перечень брокеров, дилеров и депозитариев, с которыми банк работает или планирует проводить операции и сделки, в том числе с ценными бумагами клиентов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перечень суб-брокеров и/или контрагентов брокеров, а также депозитариев и суб-депозитариев, услугами которых брокер намерен пользоваться для осуществления операций и сделок по ценным бумагам от имени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информация по анализу и оценке соответствия брокеров, дилеров и депозитариев банка требованиям Национального банка, в том числе копия подписанного заключения юриста банка о том, что выбранный банком вышеназванный профессиональный участник рынка ценных бумаг соответствует требованиям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информация о репутации брокеров, дилеров и депозитариев, полученная от уполномоченных государственных органов по регулированию рынка ценных бумаг (приложить копии писем с ответной информацией от уполномоченных государственных органов);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информация с подробным описанием операций и сделок, которые банк намерен проводить посредством брокеров/дилеров и депозитариев.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hyperlink w:history="1" r:id="rId4_z5b58oae8ddtwvfwa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2012 года № 43/1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августа 2018 года № 2018-П-33/33-8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приобретении ценных бумаг банку необходимо их классифицировать по назначению (в зависимости от целей приобретения) и учитывать в соответствии с Международными стандартами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Банк должен ежемесячно отражать в своей финансовой отчетности любое известное ухудшение стоимости всех ценных бумаг и обязан проводить классификацию ценных бумаг на предмет ухудшения качества согласно требованиям, установленным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Правильность оценки ценных бумаг должна проверятся каждый раз, когда банк готовит регулятивный отчет или публикует свои финансовые отчеты. Национальный банк на регулярной основе, в порядке, установленном законодательством Кыргызской Республики, будет проверять деятельность банка на предмет соответствия деятельности банка с ценными бумагами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Несоответствующее применение правил учета ценных бумаг приводит к неправильному отражению финансового состояния банка в отчетах, представляемых в Национальный банк, что рассматривается как предоставление недостоверной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</w:t>
      </w:r>
      <w:r>
        <w:rPr>
          <w:rFonts w:ascii="Arial" w:cs="Arial" w:eastAsia="Arial" w:hAnsi="Arial"/>
          <w:sz w:val="24"/>
          <w:szCs w:val="24"/>
        </w:rPr>
        <w:t xml:space="preserve">Развитых стран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включенных в список агентства</w:t>
      </w:r>
      <w:r>
        <w:rPr>
          <w:rFonts w:ascii="Arial" w:cs="Arial" w:eastAsia="Arial" w:hAnsi="Arial"/>
          <w:sz w:val="24"/>
          <w:szCs w:val="24"/>
        </w:rPr>
        <w:t xml:space="preserve"> Standard &amp; Poor's "The S&amp;P Global BMI (Broad Market Index)".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Сотрудник банка (на уровне начальника структурного подразделения банка или главного специалиста, в случае отсутствия соответствующего структурного подразделения в банке), назначаемый в целях организации внутреннего контроля по противодействию легализации (отмыванию) преступных доходов и финансированию террористической или экстремистской деятельности, а также проведению операций, имеющих признаки подозрительных 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(3) Австралия, Австрия, Бельгия, Великобритания, Германия, Греция, Дания, Ирландия, Исландия, Испания, Италия, Канада, Люксембург, Мексика, Нидерланды, Новая Зеландия, Норвегия, Португалия, Соединенные Штаты Америки, Турция, Финляндия, Франция, Швеция, Швейцария, Япония, Чехия, Венгрия, Корея, Польша, Республика Словакия.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yasfr6xaerf6mtjtpdl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2016 года № 7/2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ВИДЫ РИСКОВ,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присущих операциям с ценными бумагами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(Утратили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15 июня 2017 года № 2017-П-12/25-12)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ehcyapkkzgyino-g7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dalil.kg/document/302442</w:t>
      </w:r>
    </w:hyperlink>
  </w:p>
  <w:p>
    <w:pPr>
      <w:spacing w:after="0" w:before="40"/>
      <w:jc w:val="center"/>
    </w:pPr>
    <w:hyperlink w:history="1" r:id="rIdbdlj1kkvnqspdqi6zwk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q3kclkblfbwhkkt6e-0" Type="http://schemas.openxmlformats.org/officeDocument/2006/relationships/hyperlink" Target="https://dalil.kg/document/302522" TargetMode="External"/><Relationship Id="rIdinjpslfebnochx_ferqzb" Type="http://schemas.openxmlformats.org/officeDocument/2006/relationships/hyperlink" Target="https://dalil.kg/document/302553" TargetMode="External"/><Relationship Id="rId68vawezlm5ueyljiinact" Type="http://schemas.openxmlformats.org/officeDocument/2006/relationships/hyperlink" Target="https://dalil.kg/document/302991" TargetMode="External"/><Relationship Id="rIdqklpmrz4bwaf6hx2o2y9e" Type="http://schemas.openxmlformats.org/officeDocument/2006/relationships/hyperlink" Target="https://dalil.kg/document/303051" TargetMode="External"/><Relationship Id="rIdaxenedt-smramklrkjzgg" Type="http://schemas.openxmlformats.org/officeDocument/2006/relationships/hyperlink" Target="https://dalil.kg/document/800212" TargetMode="External"/><Relationship Id="rIdx_lqxpq-yojdf105mb8qq" Type="http://schemas.openxmlformats.org/officeDocument/2006/relationships/hyperlink" Target="https://dalil.kg/document/302522" TargetMode="External"/><Relationship Id="rIdos-4drur_gynx0wl9qzka" Type="http://schemas.openxmlformats.org/officeDocument/2006/relationships/hyperlink" Target="https://dalil.kg/document/303051" TargetMode="External"/><Relationship Id="rIdgpkgfku0fiynvtby8oz81" Type="http://schemas.openxmlformats.org/officeDocument/2006/relationships/hyperlink" Target="https://dalil.kg/document/302553" TargetMode="External"/><Relationship Id="rIdkxdiw5gq1snb2ajibog56" Type="http://schemas.openxmlformats.org/officeDocument/2006/relationships/hyperlink" Target="https://dalil.kg/document/302991" TargetMode="External"/><Relationship Id="rId4_z5b58oae8ddtwvfwahu" Type="http://schemas.openxmlformats.org/officeDocument/2006/relationships/hyperlink" Target="https://dalil.kg/document/302553" TargetMode="External"/><Relationship Id="rIdyasfr6xaerf6mtjtpdltd" Type="http://schemas.openxmlformats.org/officeDocument/2006/relationships/hyperlink" Target="https://dalil.kg/document/30305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ehcyapkkzgyino-g7ki" Type="http://schemas.openxmlformats.org/officeDocument/2006/relationships/hyperlink" Target="https://dalil.kg/document/302442" TargetMode="External"/><Relationship Id="rIdbdlj1kkvnqspdqi6zwk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2026-09-24T07:31:48.743Z</dcterms:created>
  <dcterms:modified xsi:type="dcterms:W3CDTF">2026-09-24T07:31:48.743Z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