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drblj_cdy4runyqone4u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8 июня 2017 года № 2017-П-12/23-1-(НПА)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декабря 2012 года № 51/2</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В целях конкретизации порядка внесения учредителями (акционерами) банка денежных средств в уставный капитал банка, как при первоначальном формировании уставного капитала, так и при последующем увеличении его размера, в соответствии со статьями 7 и 43 Закона Кыргызской Республики "</w:t>
      </w:r>
      <w:hyperlink w:history="1" r:id="rIdyhik3l-rtq_ed1a8hdelc">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изменения и дополнения в </w:t>
      </w:r>
      <w:hyperlink w:history="1" r:id="rIdvh63ijpntvwdljhy2qkj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awaihp2riu0ueov4pw-f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(прилагаются).</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после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Национального банка Кыргызской Республики Чокоева З.Л.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ИЗМЕНЕНИЯ И ДОПОЛНЕНИЯ</w:t>
      </w:r>
      <w:r>
        <w:rPr>
          <w:rFonts w:ascii="Arial" w:cs="Arial" w:eastAsia="Arial" w:hAnsi="Arial"/>
          <w:sz w:val="24"/>
          <w:szCs w:val="24"/>
        </w:rPr>
        <w:t xml:space="preserve">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dptv0awdzo-yjhmvktn6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банков", утвержденное </w:t>
      </w:r>
      <w:hyperlink w:history="1" r:id="rIdbs3d0bmvnl8rk0jttkiv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q7qcplgskthbstvyvo1x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следующие изменения и дополнения:</w:t>
      </w:r>
    </w:p>
    <w:p>
      <w:pPr>
        <w:spacing w:after="120"/>
        <w:jc w:val="both"/>
      </w:pPr>
      <w:r>
        <w:rPr>
          <w:rFonts w:ascii="Arial" w:cs="Arial" w:eastAsia="Arial" w:hAnsi="Arial"/>
          <w:sz w:val="24"/>
          <w:szCs w:val="24"/>
        </w:rPr>
        <w:t xml:space="preserve">1. Пункт 5.6. изложить в следующей редакции:</w:t>
      </w:r>
    </w:p>
    <w:p>
      <w:pPr>
        <w:spacing w:after="120"/>
        <w:jc w:val="both"/>
      </w:pPr>
      <w:r>
        <w:rPr>
          <w:rFonts w:ascii="Arial" w:cs="Arial" w:eastAsia="Arial" w:hAnsi="Arial"/>
          <w:sz w:val="24"/>
          <w:szCs w:val="24"/>
        </w:rPr>
        <w:t xml:space="preserve">"Учредители (акционеры) банка, как при первоначальном формировании уставного капитала, так и при последующем увеличении его размера, обязаны вносить средства в уставный капитал только в безналичной форме, путем перечисления с банковских счетов.</w:t>
      </w:r>
    </w:p>
    <w:p>
      <w:pPr>
        <w:spacing w:after="120"/>
        <w:jc w:val="both"/>
      </w:pPr>
      <w:r>
        <w:rPr>
          <w:rFonts w:ascii="Arial" w:cs="Arial" w:eastAsia="Arial" w:hAnsi="Arial"/>
          <w:sz w:val="24"/>
          <w:szCs w:val="24"/>
        </w:rPr>
        <w:t xml:space="preserve">Внесение денежных средств, направляемых в уставный капитал, как при его первоначальном формировании, так и при последующем его увеличении, любыми другими лицами за учредителей (акционеров) запрещается.</w:t>
      </w:r>
    </w:p>
    <w:p>
      <w:pPr>
        <w:spacing w:after="120"/>
        <w:jc w:val="both"/>
      </w:pPr>
      <w:r>
        <w:rPr>
          <w:rFonts w:ascii="Arial" w:cs="Arial" w:eastAsia="Arial" w:hAnsi="Arial"/>
          <w:sz w:val="24"/>
          <w:szCs w:val="24"/>
        </w:rPr>
        <w:t xml:space="preserve">В случае, если средства учредителя (акционера), включая средства, полученные им в рамках договора займа, кредита или приравненные к ним средства, перечисляются в Кыргызскую Республику из иностранных банков, то такие банки (за исключением материнских банков, осуществляющих капитализацию дочерних банков, расположенных на территории Кыргызской Республики) должны иметь долгосрочный кредитный рейтинг не ниже категории "BBB", присвоенный рейтинговым агентством "Sta№dard &amp; Poor's" (США) или долгосрочный кредитный рейтинг не ниже категории "Baa" по Moody's I№vestors Service (США) или долгосрочный кредитный рейтинг не ниже категории "BBB" по Fitch-IBCA (США) или равнозначный кредитный рейтинг, присвоенный рейтинговыми агентствами: Capital I№tellige№ce, Japa№ Credit Rati№g Age№cy (JCR), Domi№io№ Bo№d Rati№g Service (DBRS), Rati№g &amp; I№vestme№t I№formatio№ (R&amp;I).</w:t>
      </w:r>
    </w:p>
    <w:p>
      <w:pPr>
        <w:spacing w:after="120"/>
        <w:jc w:val="both"/>
      </w:pPr>
      <w:r>
        <w:rPr>
          <w:rFonts w:ascii="Arial" w:cs="Arial" w:eastAsia="Arial" w:hAnsi="Arial"/>
          <w:sz w:val="24"/>
          <w:szCs w:val="24"/>
        </w:rPr>
        <w:t xml:space="preserve">Для целей настоящего пункта:</w:t>
      </w:r>
    </w:p>
    <w:p>
      <w:pPr>
        <w:spacing w:after="120"/>
        <w:jc w:val="both"/>
      </w:pPr>
      <w:r>
        <w:rPr>
          <w:rFonts w:ascii="Arial" w:cs="Arial" w:eastAsia="Arial" w:hAnsi="Arial"/>
          <w:sz w:val="24"/>
          <w:szCs w:val="24"/>
        </w:rPr>
        <w:t xml:space="preserve">1) под иностранными банками подразумеваются исключительно банки-отправители. Под данное определение не подпадают банки-корреспонденты (транзитные банки, банки-посредники);</w:t>
      </w:r>
    </w:p>
    <w:p>
      <w:pPr>
        <w:spacing w:after="120"/>
        <w:jc w:val="both"/>
      </w:pPr>
      <w:r>
        <w:rPr>
          <w:rFonts w:ascii="Arial" w:cs="Arial" w:eastAsia="Arial" w:hAnsi="Arial"/>
          <w:sz w:val="24"/>
          <w:szCs w:val="24"/>
        </w:rPr>
        <w:t xml:space="preserve">2) средства, поступившие из иностранных банков должны иметь назначение платежа "Для внесения в уставный капитал банка" с указанием наименования капитализируемого банка;</w:t>
      </w:r>
    </w:p>
    <w:p>
      <w:pPr>
        <w:spacing w:after="120"/>
        <w:jc w:val="both"/>
      </w:pPr>
      <w:r>
        <w:rPr>
          <w:rFonts w:ascii="Arial" w:cs="Arial" w:eastAsia="Arial" w:hAnsi="Arial"/>
          <w:sz w:val="24"/>
          <w:szCs w:val="24"/>
        </w:rPr>
        <w:t xml:space="preserve">3) средства учредителя (акционера), поступившие в банк-резидент из иностранного банка, в случае их последующего обналичивания и внесения на счет наличными, конвертации или перевода в другой банк-резидент либо в Национальный банк, не могут рассматриваться как средства, поступившие с банковского счета банка-резидента для целей внесения в уставный капитал;</w:t>
      </w:r>
    </w:p>
    <w:p>
      <w:pPr>
        <w:spacing w:after="120"/>
        <w:jc w:val="both"/>
      </w:pPr>
      <w:r>
        <w:rPr>
          <w:rFonts w:ascii="Arial" w:cs="Arial" w:eastAsia="Arial" w:hAnsi="Arial"/>
          <w:sz w:val="24"/>
          <w:szCs w:val="24"/>
        </w:rPr>
        <w:t xml:space="preserve">4) в договоре займа должно быть указано, что заемные средства предназначены только для покупки акций банка.".</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3vf8kf9yrpcymbe4royl">
      <w:r>
        <w:rPr>
          <w:rFonts w:ascii="Arial" w:cs="Arial" w:eastAsia="Arial" w:hAnsi="Arial"/>
          <w:color w:val="132D3F"/>
          <w:sz w:val="16"/>
          <w:szCs w:val="16"/>
          <w:u w:val="single"/>
        </w:rPr>
        <w:t xml:space="preserve">dalil.kg/document/302558</w:t>
      </w:r>
    </w:hyperlink>
  </w:p>
  <w:p>
    <w:pPr>
      <w:spacing w:after="0" w:before="40"/>
      <w:jc w:val="center"/>
    </w:pPr>
    <w:hyperlink w:history="1" r:id="rId46y9dkln8euhza6o8png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rblj_cdy4runyqone4ua" Type="http://schemas.openxmlformats.org/officeDocument/2006/relationships/hyperlink" Target="https://dalil.kg/document/800233" TargetMode="External"/><Relationship Id="rIdyhik3l-rtq_ed1a8hdelc" Type="http://schemas.openxmlformats.org/officeDocument/2006/relationships/hyperlink" Target="https://dalil.kg/document/559" TargetMode="External"/><Relationship Id="rIdvh63ijpntvwdljhy2qkjd" Type="http://schemas.openxmlformats.org/officeDocument/2006/relationships/hyperlink" Target="https://dalil.kg/document/300399" TargetMode="External"/><Relationship Id="rIdawaihp2riu0ueov4pw-fo" Type="http://schemas.openxmlformats.org/officeDocument/2006/relationships/hyperlink" Target="https://dalil.kg/document/300400" TargetMode="External"/><Relationship Id="rIddptv0awdzo-yjhmvktn68" Type="http://schemas.openxmlformats.org/officeDocument/2006/relationships/hyperlink" Target="https://dalil.kg/document/300400" TargetMode="External"/><Relationship Id="rIdbs3d0bmvnl8rk0jttkiv4" Type="http://schemas.openxmlformats.org/officeDocument/2006/relationships/hyperlink" Target="https://dalil.kg/document/300399" TargetMode="External"/><Relationship Id="rIdq7qcplgskthbstvyvo1xg" Type="http://schemas.openxmlformats.org/officeDocument/2006/relationships/hyperlink" Target="https://dalil.kg/document/30040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3vf8kf9yrpcymbe4royl" Type="http://schemas.openxmlformats.org/officeDocument/2006/relationships/hyperlink" Target="https://dalil.kg/document/302558" TargetMode="External"/><Relationship Id="rId46y9dkln8euhza6o8png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2026-09-24T01:15:28.993Z</dcterms:created>
  <dcterms:modified xsi:type="dcterms:W3CDTF">2026-09-24T01:15:28.993Z</dcterms:modified>
</cp:coreProperties>
</file>

<file path=docProps/custom.xml><?xml version="1.0" encoding="utf-8"?>
<Properties xmlns="http://schemas.openxmlformats.org/officeDocument/2006/custom-properties" xmlns:vt="http://schemas.openxmlformats.org/officeDocument/2006/docPropsVTypes"/>
</file>