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tslmogv7lrhiscnuvt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28 марта 2013 года № 10/9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депозитарном учете государственных ценных бумаг,
 размещаемых через Национальный банк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ouhs4bppo36eyzh_b91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2014 года № 47/10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ewkkzlrojvijneuj0g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2017-П-15/26-3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9f-rlb6hd7atn353h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tzlxl8gotpojdw5hqpg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июня 2017 года № 2017-П-15/26-3)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ведения депозитарного учета ценных бумаг (далее - ЦБ), размещаемых через Национальный банк в автоматизированной торговой системе Национального банка (далее - АТС).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-0fw-ius_undd0ner7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Депозитарий имеет двухуровневую структуру, состоящую из Головного депозитария Национального банка (далее - Головной депозитарий) и Субдепозитариев, уполномоченных выполнять функции по учету движения собственных ценных бумаг и ценных бумаг своих депонентов.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ценных бумаг в Депозитарии осуществляется по количеству ценных бумаг (в штуках).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Положения, кроме указанных ниже, применяются определения и термины, установленные в Положении о работе АТС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Внутрипозиционные переводы</w:t>
      </w:r>
      <w:r>
        <w:rPr>
          <w:rFonts w:ascii="Arial" w:cs="Arial" w:eastAsia="Arial" w:hAnsi="Arial"/>
          <w:sz w:val="24"/>
          <w:szCs w:val="24"/>
        </w:rPr>
        <w:t xml:space="preserve"> - операции, связанные с переводами ценных бумаг в рамках одного субсчета "депо".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Головной депозитарий</w:t>
      </w:r>
      <w:r>
        <w:rPr>
          <w:rFonts w:ascii="Arial" w:cs="Arial" w:eastAsia="Arial" w:hAnsi="Arial"/>
          <w:sz w:val="24"/>
          <w:szCs w:val="24"/>
        </w:rPr>
        <w:t xml:space="preserve"> - подразделение Национального банка, осуществляющее функции учета и хранения ценных бумаг, регистрацию перехода и подтверждение права собственности на ценные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Ценные бумаги, размещаемые через Национальный банк</w:t>
      </w:r>
      <w:r>
        <w:rPr>
          <w:rFonts w:ascii="Arial" w:cs="Arial" w:eastAsia="Arial" w:hAnsi="Arial"/>
          <w:sz w:val="24"/>
          <w:szCs w:val="24"/>
        </w:rPr>
        <w:t xml:space="preserve"> - государственные ценные бумаги, выпускаемые Министерством финансов Кыргызской Республики от имени Правительства Кыргызской Республики и ноты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5t4xldvrm2wclcsclf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Депозитарий </w:t>
      </w:r>
      <w:r>
        <w:rPr>
          <w:rFonts w:ascii="Arial" w:cs="Arial" w:eastAsia="Arial" w:hAnsi="Arial"/>
          <w:sz w:val="24"/>
          <w:szCs w:val="24"/>
        </w:rPr>
        <w:t xml:space="preserve">- юридическое лицо Кыргызской Республики, осуществляющее депозитарный учет и хранение ценных бумаг, регистрацию перехода и подтверждение права собственности на ценные бумаги.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Депонент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 Кыргызской Республики, либо другого государства, открывшее в Депозитарии в соответствии с договором счет "депо" и имеющее право отдавать распоряжения на выполнение операций по своему счету "депо".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Депо-счет</w:t>
      </w:r>
      <w:r>
        <w:rPr>
          <w:rFonts w:ascii="Arial" w:cs="Arial" w:eastAsia="Arial" w:hAnsi="Arial"/>
          <w:sz w:val="24"/>
          <w:szCs w:val="24"/>
        </w:rPr>
        <w:t xml:space="preserve"> - запись (либо совокупность записей), создающаяся для каждой ценной бумаги в целях их учета и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Депозитарные операции</w:t>
      </w:r>
      <w:r>
        <w:rPr>
          <w:rFonts w:ascii="Arial" w:cs="Arial" w:eastAsia="Arial" w:hAnsi="Arial"/>
          <w:sz w:val="24"/>
          <w:szCs w:val="24"/>
        </w:rPr>
        <w:t xml:space="preserve"> - операции, проводимые Депозитарием в рамках осуществления депозитарной деятельности и связанные с записями по счетам "депо" и другими данными, хранящимися в депозитариях.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репо Национального банка</w:t>
      </w:r>
      <w:r>
        <w:rPr>
          <w:rFonts w:ascii="Arial" w:cs="Arial" w:eastAsia="Arial" w:hAnsi="Arial"/>
          <w:sz w:val="24"/>
          <w:szCs w:val="24"/>
        </w:rPr>
        <w:t xml:space="preserve"> - это операции по покупке (прямое репо)/продаже (обратное репо) ценных бумаг с обязательством их обратной продажи/покупки в определенную дату в будущем и по заранее оговоренной 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Субдепозитарий</w:t>
      </w:r>
      <w:r>
        <w:rPr>
          <w:rFonts w:ascii="Arial" w:cs="Arial" w:eastAsia="Arial" w:hAnsi="Arial"/>
          <w:sz w:val="24"/>
          <w:szCs w:val="24"/>
        </w:rPr>
        <w:t xml:space="preserve"> - депозитарий, заключивший договор с Национальным банком на выполнение функций по учету движения ценных бумаг и который имеет счет "депо" в Головном депозитарии.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Суб-баланс</w:t>
      </w:r>
      <w:r>
        <w:rPr>
          <w:rFonts w:ascii="Arial" w:cs="Arial" w:eastAsia="Arial" w:hAnsi="Arial"/>
          <w:sz w:val="24"/>
          <w:szCs w:val="24"/>
        </w:rPr>
        <w:t xml:space="preserve"> - минимальная неделимая структурная единица депозитарного учета, открываемая в рамках субсчета "депо".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Формы и принципы организации депозитарного учета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принципами организации системы депозитарного учета являются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 и достоверность депозитарного учета операций с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временная определенность;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раздельность учета операций с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структурная обособленность.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полноты и достоверности депозитарного учета. Все операции с ценными бумагами находят свое полное и достоверное отражение в системе депозитарного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временной определенности. Учетные записи в системе депозитарного учета выполняются в момент получения Головным депозитарием первичного документа, подтверждающего осуществление операции с ценными бумагами или электронного поручения в АТС. При этом обязательными элементами учетной записи о проведенной операции являются время осуществления операции и время отражения этой операции в системе депозитарного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раздельности учета. Ценные бумаги разных выпусков, в том числе обремененные обязательствами, учитываются отдельно друг от друга.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структурной обособленности. Наличие двухуровневой системы регистрирующих организаций - Головного депозитария и Субдепозитариев.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Участники депозитарных 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настоящего Положения под участниками депозитарных операций понимаются Депозитарии и депоненты. Депозитарии разделяются на Головной депозитарий и Субдепозитарии.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качестве Головного депозитария выступает Национальный банк, который: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открытие счетов соответствующей эмиссии при выпуске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хранение документов о выпуске и погашении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открытие счетов "депо" депонентам в Головном депозитарии;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перевод ценных бумаг в ходе их вторичного обращения между Субдепозитариями и депонентами;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закрытие счетов соответствующей эмиссии при наступлении сроков погашения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учитывает в совокупности ценные бумаги в Субдепозитарии по счету "депо" данного Субдепозитария ценных бумаг, принадлежащего депонентам;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деятельностью Субдепозитариев и устанавливает порядок осуществления депозитарных операций с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подтверждать права собственности на ценные бумаги, принадлежащие своим депонентам.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Депонентами Головного депозитария являются Субдепозитарии, Министерство финансов Кыргызской Республики, Национальный банк и другие юридические лица в случаях,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качестве Субдепозитариев выступают коммерческие банки, институциональные инвесторы, специализированные финансово-кредитные организации и другие участники рынка ценных бумаг, заключившие соответствующие договора с Национальным банком и которые: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депозитарный учет ценных бумаг, принадлежащих Субдепозитарию;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хранение и учет прав на ценные бумаги, принадлежащих своим депонентам;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депозитарные операции в АТС;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депозитарный учет ценных бумаг, переданных в залог;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производят зачисление ценных бумаг на счета своих депонентов при их первичном размещении;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обособленный учет ценных бумаг каждого депонента;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подтверждать право собственности на ценные бумаги своих депонентов.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sggvzdbbpmrisosca9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Депонентом Субдепозитария могут являться залогодержатели ценных бумаг - юридические или физические лица Кыргызской Республики, либо иного государства, которым ценные бумаги принадлежат на праве собственности, которые являются доверительными управляющими ценных бумаг, а также лица, которым ценные бумаги переданы на хранение в случаях,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Виды счетов "депо" и перечень проводимых 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Учет и хранение ценных бумаг в Головном депозитарии осуществляется на счетах "депо", открываемых Субдепозитариям после заключения с Национальным банком соответствующих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ведения аналитического учета в рамках счета "депо" для каждого Субдепозитария открывается один субсчет "депо" для учета его собственных ценных бумаг и субсчета "депо" для учета ценных бумаг его депонентов.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Собственный субсчет "депо" открывается для учета и хранения ценных бумаг, принадлежащих на праве собственности Субдепозитарию. Субсчет "депо" депонента Субдепозитария предназначен для учета ценных бумаг, принадлежащих или переданных депоненту.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Виды субсчетов "депо" депонента.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ценных бумаг депонентов Субдепозитария осуществляется в Депозитарии по следующим разделам субсчетов "депо" в зависимости от типа депонента Субдепозитария: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лица-резиденты финансовые;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лица-резиденты нефинансовые;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лица-нерезиденты финансовые;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лица-нерезиденты нефинансовые;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лица-резиденты;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лица-нерезиденты.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Ведение учетной информации о депонентах, их операциях и балансах находится в сфере ответственности Субдепозитариев.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Суб-балансы.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ведения учета ценных бумаг в рамках каждого субсчета "депо" открываются суб-балансы. Учет в рамках субсчетов "депо" производится по следующим суб-балансам: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арестованные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заблокированные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доступные инструменты, полученные в залог;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залоговый в пользу залогодержателя;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залоговый по кредитам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Суб-баланс "Арестованные ценные бумаги" предназначен для учета ценных бумаг, заблокированных или арестованных по распоряжению Головного депозитария или уполномоченного государственного органа Кыргызской Республики. Ценные бумаги с данного суб-баланса не могут быть использованы депонентами для текущих операций покупки, продажи, залога и внутрипозиционных переводов. Внутрипозиционные переводы по данному суб-балансу могут быть произведены только Головным депозитарием.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Суб-баланс "Заблокированные ценные бумаги" предназначен для учета ценных бумаг, заблокированных в процессе исполнения транзакций "поставка против платежа". Ценные бумаги с данного суб-баланса не могут быть использованы участником для текущих операций покупки, продажи, залога и внутрипозиционных переводов.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Суб-баланс "Доступные инструменты, полученные в залог" предназначен для учета ценных бумаг, купленных по операциям репо. Ценные бумаги, полученные от другого участника в рамках операций репо могут быть использованы для текущих операций участника: покупки/продажи на условиях репо, залога и внутрипозиционных переводов без ограничений в пределах остатка.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суб-балансе "Инвестиционный" учитываются ценные бумаги, принадлежащие депоненту на праве собственности. Ценные бумаги с данного суб-баланса могут быть использованы для текущих операций покупки, продажи, залога и внутрипозиционных переводов без ограничений в пределах остатка. Погашение ценных бумаг производится только с суб-баланса "Инвестиционный".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суббалансе "Залоговый без перехода права собственности на ЦБ" учитываются ЦБ, заблокированные в пользу залогодержателя. ЦБ с данного суббаланса не могут быть использованы для текущих операций покупки, продажи, залога и внутрипозиционных переводов.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Суббаланс "Залоговый с переходом прав собственности" используется для учета ЦБ, заложенных в рамках кредитов "внутридневной" и "овернайт", которые не могут быть использованы для текущих операций покупки, продажи, залога и внутрипозиционных переводов. ЦБ переводятся на данный суббаланс после выдачи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Суб-баланс "Резервный" предназначен для резервирования ценных бумаг в процессе выдачи кредитов "овернайт" и внутридневной. На данном суб-балансе учитываются ценные бумаги, зарезервированные участником для использования в качестве залога по операциям рефинансирования Национального банка ("овернайт" и внутридневной кредит).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uzosgmgyjzxbsjeddzg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Субдепозитарий ведет обособленный учет ценных бумаг по каждому депоненту в соответствии с субсчетами "депо" депонента вне АТС.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Основания для осуществления депозитарных операций. Ограничения на их проведение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Все депозитарные операции проводятся в АТС в соответствии с установленным регламентом работы АТС. В случае сбоев АТС или по иным причинам депозитарные операции осуществляются на основе бумажных поручений "депо" в соответствии с приложениями </w:t>
      </w:r>
      <w:hyperlink w:history="1" r:id="rIdukmzhnuaps2l200f8jm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4akkdss4aqevgggsyw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2ggsgskcgqfgfb19wi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2014 года № 47/10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Основанием для совершения операции по внесению записей о параметрах выпуска ценных бумаг в Депозитарии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глобальный сертификат;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протокола Комитета денежно-кредитного регулирования, оформленная согласно нормативным правовым актам Кыргызской Республики и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Основанием для совершения операций по счетам "депо" в Депозитарии являются поручения "депо" в электронной форме, создаваемые и передаваемые в АТС. Поручение "депо" в электронной форме является электронным документом, который формируется в установленной форме в АТС. Для подтверждения подлинности электронного поручения "депо" используется электронно-цифровая подпись.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Электронные поручения "депо" признаются как подлинные, идентичные соответствующим поручениям "депо" на бумажном носителе и порождают аналогичные им права и обязанности сторон при осуществлении переводов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Основанием для совершения операции по закрытию счетов "депо" являются документы, оформленные, согласно соответствующим нормативным правовым актам Кыргызской Республики и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upfolkd5ym-v0lgjwo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Основанием для проведения операций по счетам "депо" депонентов Субдепозитария являются соответствующие виду проводимой операции оригиналы документов (поручения депонента, договора, распоряжения и прочие документы). Срок хранения первичных документов определяется соответствующими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Поручения "депо" на перевод ценных бумаг по счетам "депо" принимаются к исполнению в случае правильности составления и достаточности ценных бумаг для осуществления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Субдепозитарии несут ответственность за законность и правильность совершения депозитарных операций.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Отчетность по депозитарным операциям формируется и предоставляется Головным депозитарием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Субдепозитарий представляет в Головной депозитарий информацию о владельцах ценных бумаг, другие виды отчетности по требованию Головного депозитария.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Порядок осуществления депозитарного учета ценных бумаг регулируется настоящим Положением, договорами и Положением о работе АТС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Изменения и дополнения в настоящее Положение могут вноситься Национальным банком в целях совершенствования процесса депозитарного учета.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депозитарном учете ценных бумаг, размещаемых через Национальный банк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ПОРУЧЕНИЕ "ДЕПО"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"____________________________________"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депонента)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evuwt9gqkw1qlbbgsxt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2017-П-15/26-3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10sm3alxj66zpnild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Вид операции: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 Собственные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2. Клиента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Покупка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Продажа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на условиях репо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на условиях репо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Банк-контрагент (Собственные/Клиента) ____________________________ (наименование)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9"/>
        <w:gridCol w:w="3379"/>
        <w:gridCol w:w="4024"/>
        <w:gridCol w:w="1435"/>
      </w:tblGrid>
      <w:tr>
        <w:tc>
          <w:tcPr>
            <w:tcW w:type="dxa" w:w="13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операции</w:t>
            </w:r>
          </w:p>
        </w:tc>
        <w:tc>
          <w:tcPr>
            <w:tcW w:type="dxa" w:w="3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эмиссии ценных бумаг</w:t>
            </w:r>
          </w:p>
        </w:tc>
        <w:tc>
          <w:tcPr>
            <w:tcW w:type="dxa" w:w="4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ценных бумаг (шт.)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операций "репо-начальное": процентная ставка, дата завершения (указать).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__________________________________________________________ (подпись),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 ______________________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депозитарном учете ценных бумаг, размещаемых через Национальный банк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ПОРУЧЕНИЕ "ДЕПО"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"_________________________________"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депонента)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ojquto7yefawdun8dqo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2017-П-15/26-3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o94wb9l6xs1fkekoj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2018 года № 2018-П-15/18-1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Покупка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Продажа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на условиях репо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на условиях репо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перевести с __________________________ (наименование суб-баланса) на ______________________ (наименование суб-баланса) в Головном депозитарии держателей ценных бумаг (*) в Национальном банке Кыргызской Республики следующие эмиссии: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7"/>
        <w:gridCol w:w="1437"/>
        <w:gridCol w:w="4018"/>
        <w:gridCol w:w="1675"/>
      </w:tblGrid>
      <w:tr>
        <w:tc>
          <w:tcPr>
            <w:tcW w:type="dxa" w:w="30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N операции</w:t>
            </w:r>
          </w:p>
        </w:tc>
        <w:tc>
          <w:tcPr>
            <w:tcW w:type="dxa" w:w="14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эмиссии</w:t>
            </w:r>
          </w:p>
        </w:tc>
        <w:tc>
          <w:tcPr>
            <w:tcW w:type="dxa" w:w="4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ценных бумаг (шт.)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30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4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операций "репо-начальное": процентная ставка, дата завершения (указать).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________________________________________ (подпись),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нужное указать.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депозитарном учете ценных бумаг, размещаемых через Национальный банк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ПОРУЧЕНИЕ
 залогодателя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(Исключено
 в соответствии с </w:t>
      </w:r>
      <w:hyperlink w:history="1" r:id="rIdje0zfz3f3rporetcluj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октября 2014 года № 47/10)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byqlyf6g4yuyww1jq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dalil.kg/document/302619</w:t>
      </w:r>
    </w:hyperlink>
  </w:p>
  <w:p>
    <w:pPr>
      <w:spacing w:after="0" w:before="40"/>
      <w:jc w:val="center"/>
    </w:pPr>
    <w:hyperlink w:history="1" r:id="rIdkopvzuzu_ovsrj87wlk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slmogv7lrhiscnuvtrd" Type="http://schemas.openxmlformats.org/officeDocument/2006/relationships/hyperlink" Target="https://dalil.kg/document/302618" TargetMode="External"/><Relationship Id="rIdouhs4bppo36eyzh_b91ux" Type="http://schemas.openxmlformats.org/officeDocument/2006/relationships/hyperlink" Target="https://dalil.kg/document/302967" TargetMode="External"/><Relationship Id="rIdxewkkzlrojvijneuj0gzu" Type="http://schemas.openxmlformats.org/officeDocument/2006/relationships/hyperlink" Target="https://dalil.kg/document/800769" TargetMode="External"/><Relationship Id="rIdlp9f-rlb6hd7atn353hhp" Type="http://schemas.openxmlformats.org/officeDocument/2006/relationships/hyperlink" Target="https://dalil.kg/document/800077" TargetMode="External"/><Relationship Id="rIdtzlxl8gotpojdw5hqpgdx" Type="http://schemas.openxmlformats.org/officeDocument/2006/relationships/hyperlink" Target="https://dalil.kg/document/800769" TargetMode="External"/><Relationship Id="rIdo-0fw-ius_undd0ner75i" Type="http://schemas.openxmlformats.org/officeDocument/2006/relationships/hyperlink" Target="https://dalil.kg/document/800077" TargetMode="External"/><Relationship Id="rIdf5t4xldvrm2wclcsclf1i" Type="http://schemas.openxmlformats.org/officeDocument/2006/relationships/hyperlink" Target="https://dalil.kg/document/800077" TargetMode="External"/><Relationship Id="rIdksggvzdbbpmrisosca9hr" Type="http://schemas.openxmlformats.org/officeDocument/2006/relationships/hyperlink" Target="https://dalil.kg/document/800077" TargetMode="External"/><Relationship Id="rIduzosgmgyjzxbsjeddzgpc" Type="http://schemas.openxmlformats.org/officeDocument/2006/relationships/hyperlink" Target="https://dalil.kg/document/800077" TargetMode="External"/><Relationship Id="rIdukmzhnuaps2l200f8jm6u" Type="http://schemas.openxmlformats.org/officeDocument/2006/relationships/hyperlink" Target="https://dalil.kg/document/302619#p1" TargetMode="External"/><Relationship Id="rIdq4akkdss4aqevgggsywzl" Type="http://schemas.openxmlformats.org/officeDocument/2006/relationships/hyperlink" Target="https://dalil.kg/document/302619#p2" TargetMode="External"/><Relationship Id="rIdm2ggsgskcgqfgfb19wioj" Type="http://schemas.openxmlformats.org/officeDocument/2006/relationships/hyperlink" Target="https://dalil.kg/document/302967" TargetMode="External"/><Relationship Id="rIdqupfolkd5ym-v0lgjwogt" Type="http://schemas.openxmlformats.org/officeDocument/2006/relationships/hyperlink" Target="https://dalil.kg/document/800077" TargetMode="External"/><Relationship Id="rIdevuwt9gqkw1qlbbgsxtrd" Type="http://schemas.openxmlformats.org/officeDocument/2006/relationships/hyperlink" Target="https://dalil.kg/document/800769" TargetMode="External"/><Relationship Id="rIdoy10sm3alxj66zpnildqx" Type="http://schemas.openxmlformats.org/officeDocument/2006/relationships/hyperlink" Target="https://dalil.kg/document/800077" TargetMode="External"/><Relationship Id="rIdojquto7yefawdun8dqo6d" Type="http://schemas.openxmlformats.org/officeDocument/2006/relationships/hyperlink" Target="https://dalil.kg/document/800769" TargetMode="External"/><Relationship Id="rIdtco94wb9l6xs1fkekojv4" Type="http://schemas.openxmlformats.org/officeDocument/2006/relationships/hyperlink" Target="https://dalil.kg/document/800077" TargetMode="External"/><Relationship Id="rIdje0zfz3f3rporetclujcg" Type="http://schemas.openxmlformats.org/officeDocument/2006/relationships/hyperlink" Target="https://dalil.kg/document/302967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byqlyf6g4yuyww1jqif" Type="http://schemas.openxmlformats.org/officeDocument/2006/relationships/hyperlink" Target="https://dalil.kg/document/302619" TargetMode="External"/><Relationship Id="rIdkopvzuzu_ovsrj87wlk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2026-10-02T18:09:10.818Z</dcterms:created>
  <dcterms:modified xsi:type="dcterms:W3CDTF">2026-10-02T18:09:10.818Z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