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7fvrli1x_o8rkmm4jxk2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8 июня 2017 года № 2017-П-12/23-1-(НПА)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24 апреля 2013 года № 13/12</w:t>
      </w:r>
    </w:p>
    <w:p>
      <w:pPr>
        <w:spacing w:after="120"/>
        <w:jc w:val="both"/>
      </w:pPr>
      <w:r>
        <w:rPr>
          <w:rFonts w:ascii="Arial" w:cs="Arial" w:eastAsia="Arial" w:hAnsi="Arial"/>
          <w:sz w:val="24"/>
          <w:szCs w:val="24"/>
        </w:rPr>
        <w:t xml:space="preserve">О внесении изменений и дополнений в постановление Правления Национального банка Кыргызской Республики № 5/7 от 02.03.2006 года "Об утверждении Положения "О лицензировании деятельности банков", регистрационный номер Министерства юстиции Кыргызской Республики от 07.04.2006 года № 34-06</w:t>
      </w:r>
    </w:p>
    <w:p>
      <w:pPr>
        <w:spacing w:after="120"/>
        <w:jc w:val="both"/>
      </w:pPr>
      <w:r>
        <w:rPr>
          <w:rFonts w:ascii="Arial" w:cs="Arial" w:eastAsia="Arial" w:hAnsi="Arial"/>
          <w:sz w:val="24"/>
          <w:szCs w:val="24"/>
        </w:rPr>
        <w:t xml:space="preserve">В соответствии со статьями 7 и 43 </w:t>
      </w:r>
      <w:hyperlink w:history="1" r:id="rIddshmn2tbmwye_ah67qz0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Правление Национального банка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изменения и дополнения в </w:t>
      </w:r>
      <w:hyperlink w:history="1" r:id="rId3apcojr7nemwzi8srgohr">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лицензировании деятельности банков", утвержденное </w:t>
      </w:r>
      <w:hyperlink w:history="1" r:id="rIdgt7tup8z40dfjywrtdmw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 марта 2006 года № 5/7, зарегистрированное в Министерстве юстиции Кыргызской Республики от 7 апреля 2006 года № 34-06 (прилагаются).</w:t>
      </w:r>
    </w:p>
    <w:p>
      <w:pPr>
        <w:spacing w:after="120"/>
        <w:jc w:val="both"/>
      </w:pPr>
      <w:r>
        <w:rPr>
          <w:rFonts w:ascii="Arial" w:cs="Arial" w:eastAsia="Arial" w:hAnsi="Arial"/>
          <w:sz w:val="24"/>
          <w:szCs w:val="24"/>
        </w:rPr>
        <w:t xml:space="preserve">2. Юридическому управлению:</w:t>
      </w:r>
    </w:p>
    <w:p>
      <w:pPr>
        <w:spacing w:after="120"/>
        <w:jc w:val="both"/>
      </w:pPr>
      <w:r>
        <w:rPr>
          <w:rFonts w:ascii="Arial" w:cs="Arial" w:eastAsia="Arial" w:hAnsi="Arial"/>
          <w:sz w:val="24"/>
          <w:szCs w:val="24"/>
        </w:rPr>
        <w:t xml:space="preserve">- опубликовать настоящее постановление на официальном сайте Национального банка Кыргызской Республики;</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3. Настоящее постановление вступает в силу по истечении пятнадцати дней после официального опубликования.</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заместителя Председателя Национального банка Кыргызской Республики Чокоева З.Л.</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З.Асанкожоева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ИЗМЕНЕНИЯ И ДОПОЛНЕНИЯ
 в постановление Правления Национального банка Кыргызской Республики от 2 марта 2006 года № 5/7 "Об утверждении Положения "О лицензировании деятельности банков", зарегистрированное в Министерстве юстиции Кыргызской Республики от 7 апреля 2006 года № 34-06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dj3ahhguz-wdhcxi802e9">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лицензировании деятельности банков", утвержденное </w:t>
      </w:r>
      <w:hyperlink w:history="1" r:id="rIdclg0jzwqcgo-fvxri0su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 марта 2006 года № 5/7 "Об утверждении </w:t>
      </w:r>
      <w:hyperlink w:history="1" r:id="rId9ckcrngbjqjdwlvydjsqn">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лицензировании деятельности банков", зарегистрированное в Министерстве юстиции Кыргызской Республики от 7 апреля 2006 года № 34-06 следующие изменения и дополнения:</w:t>
      </w:r>
    </w:p>
    <w:p>
      <w:pPr>
        <w:spacing w:after="120"/>
        <w:jc w:val="both"/>
      </w:pPr>
      <w:r>
        <w:rPr>
          <w:rFonts w:ascii="Arial" w:cs="Arial" w:eastAsia="Arial" w:hAnsi="Arial"/>
          <w:sz w:val="24"/>
          <w:szCs w:val="24"/>
        </w:rPr>
        <w:t xml:space="preserve">1. Главу 12 дополнить пунктом 12.12 следующего содержания: "12.12. В случае отказа Национальным банком в удовлетворении заявки по любому из оснований, указанных в пункте 12.4 настоящей главы, лицо, ставшее акционером банка на основании различных сделок об отчуждении имущества, решения суда, в порядке универсального правопреемства прямо или косвенно значительным участником банка или владельцем (в том числе по договору доверительного управления) более двадцати процентов голосующих акций банка или контролирующим лицом банка, должно прекратить осуществление влияния на руководство или политику банка (включая прямое или косвенное осуществление права голоса) и должно сократить свое участие в уставном капитале банка до уровня ниже того, который предполагает значительное участие или контроль, в течение периода времени, определенного Национальным банком.".</w:t>
      </w:r>
    </w:p>
    <w:p>
      <w:pPr>
        <w:spacing w:after="120"/>
        <w:jc w:val="both"/>
      </w:pPr>
      <w:r>
        <w:rPr>
          <w:rFonts w:ascii="Arial" w:cs="Arial" w:eastAsia="Arial" w:hAnsi="Arial"/>
          <w:sz w:val="24"/>
          <w:szCs w:val="24"/>
        </w:rPr>
        <w:t xml:space="preserve">2. Пункт 13.1 изложить в следующей редакции: "13.1. Должностными лицами, кандидатуры которых подлежат обязательному согласованию с Национальным банком являются: председатель и члены Совета директоров, члены Шариатского Совета, председатель правления (президент, генеральный менеджер, руководитель филиала банка-нерезидента), его заместители (вице-президент, заместитель генерального менеджера, заместитель руководителя филиала банка-нерезидента), члены правления, управляющий директор, председатель комитета по аудиту, руководитель структурного подразделения, ответственный за кредитную деятельность банка, руководитель структурного подразделения, ответственный за управление активами и пассивами банка (либо лицо, приравненное к нему по своим функциональным обязанностям), главный бухгалтер, руководитель исламского окна, руководитель структурного подразделения, ответственный за финансирование по исламским принципам, руководитель структурного подразделения, ответственный за внутренние организационные мероприятия банка по противодействию финансированию терроризма (экстремизма), легализации (отмыванию) доходов, полученных преступным путем. Согласованию с Национальным банком также подлежат кандидатуры на должность руководителя службы внутреннего аудита и руководителя структурного подразделения, ответственного за управление рисками банка.</w:t>
      </w:r>
    </w:p>
    <w:p>
      <w:pPr>
        <w:spacing w:after="120"/>
        <w:jc w:val="both"/>
      </w:pPr>
      <w:r>
        <w:rPr>
          <w:rFonts w:ascii="Arial" w:cs="Arial" w:eastAsia="Arial" w:hAnsi="Arial"/>
          <w:sz w:val="24"/>
          <w:szCs w:val="24"/>
        </w:rPr>
        <w:t xml:space="preserve">Согласованию с Национальным банком также подлежат любые лица, приравненные по своим функциональным обязанностям к вышеперечисленным должностным лицам.".</w:t>
      </w:r>
    </w:p>
    <w:p>
      <w:pPr>
        <w:spacing w:after="120"/>
        <w:jc w:val="both"/>
      </w:pPr>
      <w:r>
        <w:rPr>
          <w:rFonts w:ascii="Arial" w:cs="Arial" w:eastAsia="Arial" w:hAnsi="Arial"/>
          <w:sz w:val="24"/>
          <w:szCs w:val="24"/>
        </w:rPr>
        <w:t xml:space="preserve">3. Подпункт 1) пункта 14-1.1 изложить в следующей редакции: "1) иметь диплом о полном высшем образовании или диплом о базовом высшем образовании (степень бакалавра) и международно-признанный сертификат, подтверждающий прохождение обучения по направлению "банковская/финансовая сфера";".</w:t>
      </w:r>
    </w:p>
    <w:p>
      <w:pPr>
        <w:spacing w:after="120"/>
        <w:jc w:val="both"/>
      </w:pPr>
      <w:r>
        <w:rPr>
          <w:rFonts w:ascii="Arial" w:cs="Arial" w:eastAsia="Arial" w:hAnsi="Arial"/>
          <w:sz w:val="24"/>
          <w:szCs w:val="24"/>
        </w:rPr>
        <w:t xml:space="preserve">4. Подпункт 1) пункта 15.2 после слов "и иметь соответствующие сертификаты" дополнить следующими словами: "или иные документы, подтверждающие успешное окончание курса или повышения квалификации по вышеуказанному направлению (сдача экзамена/теста и т.п.), которые были получены в течение пяти лет, предшествовавших дате подачи ходатайства о согласовании кандидатуры в образовательных учреждениях, имеющих соответствующее разрешение/лицензию уполномоченного государственного органа.".</w:t>
      </w:r>
    </w:p>
    <w:p>
      <w:pPr>
        <w:spacing w:after="120"/>
        <w:jc w:val="both"/>
      </w:pPr>
      <w:r>
        <w:rPr>
          <w:rFonts w:ascii="Arial" w:cs="Arial" w:eastAsia="Arial" w:hAnsi="Arial"/>
          <w:sz w:val="24"/>
          <w:szCs w:val="24"/>
        </w:rPr>
        <w:t xml:space="preserve">5. Подпункт 2 пункта 15.2 после слов "(Банковский учебный центр, Объединение бухгалтеров и аудиторов и другие учебные центры)" дополнить следующими словами: "подтверждающие успешное окончание курса или повышения квалификации по вышеуказанным направлениям (сдача экзамена/теста и т.п.), которые были получены в течение пяти лет, предшествующих дате подачи ходатайства о согласовании кандидатуры в образовательных учреждениях, имеющих соответствующее разрешение/лицензию уполномоченного государственного органа.".</w:t>
      </w:r>
    </w:p>
    <w:p>
      <w:pPr>
        <w:spacing w:after="120"/>
        <w:jc w:val="both"/>
      </w:pPr>
      <w:r>
        <w:rPr>
          <w:rFonts w:ascii="Arial" w:cs="Arial" w:eastAsia="Arial" w:hAnsi="Arial"/>
          <w:sz w:val="24"/>
          <w:szCs w:val="24"/>
        </w:rPr>
        <w:t xml:space="preserve">6. Во втором абзаце пункта 19.8 после слов "следующие сведения" исключить слова ", публикуемые на официальном Интернет сайте Национального банка на ежемесячной основе".</w:t>
      </w:r>
    </w:p>
    <w:p>
      <w:pPr>
        <w:spacing w:after="120"/>
        <w:jc w:val="both"/>
      </w:pPr>
      <w:r>
        <w:rPr>
          <w:rFonts w:ascii="Arial" w:cs="Arial" w:eastAsia="Arial" w:hAnsi="Arial"/>
          <w:sz w:val="24"/>
          <w:szCs w:val="24"/>
        </w:rPr>
        <w:t xml:space="preserve">7. Пункт 19.8 дополнить абзацем следующего содержания: "Сведения подпунктов 1), 2), 3), 4) и 8) настоящего пункта публикуются на официальном Интернет сайте Национального банка на ежемесячной основе.".</w:t>
      </w:r>
    </w:p>
    <w:p>
      <w:pPr>
        <w:spacing w:after="120"/>
        <w:jc w:val="both"/>
      </w:pPr>
      <w:r>
        <w:rPr>
          <w:rFonts w:ascii="Arial" w:cs="Arial" w:eastAsia="Arial" w:hAnsi="Arial"/>
          <w:sz w:val="24"/>
          <w:szCs w:val="24"/>
        </w:rPr>
        <w:t xml:space="preserve">8. Во втором абзаце пункта 21.5 после слов "следующие сведения" исключить слова ", публикуемые на официальном Интернет сайте Национального банка на ежемесячной основе".</w:t>
      </w:r>
    </w:p>
    <w:p>
      <w:pPr>
        <w:spacing w:after="120"/>
        <w:jc w:val="both"/>
      </w:pPr>
      <w:r>
        <w:rPr>
          <w:rFonts w:ascii="Arial" w:cs="Arial" w:eastAsia="Arial" w:hAnsi="Arial"/>
          <w:sz w:val="24"/>
          <w:szCs w:val="24"/>
        </w:rPr>
        <w:t xml:space="preserve">9. Пункт 21.5 дополнить абзацем следующего содержания: "Сведения подпунктов 1), 2), 3), 5) и 7) настоящего пункта публикуются на официальном Интернет сайте Национального банка на ежемесячной основе.".</w:t>
      </w:r>
    </w:p>
    <w:p>
      <w:pPr>
        <w:spacing w:after="120"/>
        <w:jc w:val="both"/>
      </w:pPr>
      <w:r>
        <w:rPr>
          <w:rFonts w:ascii="Arial" w:cs="Arial" w:eastAsia="Arial" w:hAnsi="Arial"/>
          <w:sz w:val="24"/>
          <w:szCs w:val="24"/>
        </w:rPr>
        <w:t xml:space="preserve">10. В пятом абзаце пункта 22.1 после слов "следующие сведения" исключить слова ", публикуемые на официальном Интернет сайте Национального банка на ежемесячной основе".</w:t>
      </w:r>
    </w:p>
    <w:p>
      <w:pPr>
        <w:spacing w:after="120"/>
        <w:jc w:val="both"/>
      </w:pPr>
      <w:r>
        <w:rPr>
          <w:rFonts w:ascii="Arial" w:cs="Arial" w:eastAsia="Arial" w:hAnsi="Arial"/>
          <w:sz w:val="24"/>
          <w:szCs w:val="24"/>
        </w:rPr>
        <w:t xml:space="preserve">11. Пункт 22.1 дополнить абзацем следующего содержания: "Сведения подпунктов 1), 2) и 3) настоящего пункта публикуются на официальном Интернет сайте Национального банка на ежемесячной основе.".</w:t>
      </w:r>
    </w:p>
    <w:p>
      <w:pPr>
        <w:spacing w:after="120"/>
        <w:jc w:val="both"/>
      </w:pPr>
      <w:r>
        <w:rPr>
          <w:rFonts w:ascii="Arial" w:cs="Arial" w:eastAsia="Arial" w:hAnsi="Arial"/>
          <w:sz w:val="24"/>
          <w:szCs w:val="24"/>
        </w:rPr>
        <w:t xml:space="preserve">12. Пункт 40.4 дополнить абзацем следующего содержания: "МФК/МКК, одновременно с подачей ходатайства о выдаче предварительного разрешения на получение банковских лицензий, вправе подать в Национальный банк заявление о получении разрешения Национального банка на переоформление действующих филиалов МФК/МКК в филиалы банка, с приложением документов в соответствии с пунктом 19.4 главы 19 настоящего Положения.".</w:t>
      </w:r>
    </w:p>
    <w:p>
      <w:pPr>
        <w:spacing w:after="120"/>
        <w:jc w:val="both"/>
      </w:pPr>
      <w:r>
        <w:rPr>
          <w:rFonts w:ascii="Arial" w:cs="Arial" w:eastAsia="Arial" w:hAnsi="Arial"/>
          <w:sz w:val="24"/>
          <w:szCs w:val="24"/>
        </w:rPr>
        <w:t xml:space="preserve">13. Пункт 41.5 дополнить абзацем следующего содержания: "Одновременно с предварительным разрешением МФК/МКК на получение (выдачу) банковских лицензий, Национальный банк, после рассмотрения заявления МФК/МКК о получении разрешения Национального банка на переоформление действующих филиалов МФК/МКК в филиалы банка и приложенных к нему документов, а также при отсутствии замечаний, может выдать разрешение на переоформление действующих филиалов МФК/МКК в филиалы банка для прохождения процедуры перерегистрации в органах регистрации юридических лиц.".</w:t>
      </w:r>
    </w:p>
    <w:p>
      <w:pPr>
        <w:spacing w:after="120"/>
        <w:jc w:val="both"/>
      </w:pPr>
      <w:r>
        <w:rPr>
          <w:rFonts w:ascii="Arial" w:cs="Arial" w:eastAsia="Arial" w:hAnsi="Arial"/>
          <w:sz w:val="24"/>
          <w:szCs w:val="24"/>
        </w:rPr>
        <w:t xml:space="preserve">14. Подпункт 1) пункта 41.8 дополнить абзацем следующего содержания: "В случае, если одновременно с предварительным разрешением МФК/МКК на получение (выдачу) банковских лицензий выдается разрешение на переоформление действующих филиалов МФК/МКК в филиалы банка, Национальный банк направляет в органы регистрации юридических лиц письмо-согласие за подписью заместителя председателя/члена Правления Национального банка, курирующего вопросы банковского надзора и лицензирования.".</w:t>
      </w:r>
    </w:p>
    <w:p>
      <w:pPr>
        <w:spacing w:after="120"/>
        <w:jc w:val="both"/>
      </w:pPr>
      <w:r>
        <w:rPr>
          <w:rFonts w:ascii="Arial" w:cs="Arial" w:eastAsia="Arial" w:hAnsi="Arial"/>
          <w:sz w:val="24"/>
          <w:szCs w:val="24"/>
        </w:rPr>
        <w:t xml:space="preserve">15. В подпункте 1) пункта 41.9 после слов "юридического лица" добавить слова "(в том числе и филиалов),".</w:t>
      </w:r>
    </w:p>
    <w:p>
      <w:pPr>
        <w:spacing w:after="120"/>
        <w:jc w:val="both"/>
      </w:pPr>
      <w:r>
        <w:rPr>
          <w:rFonts w:ascii="Arial" w:cs="Arial" w:eastAsia="Arial" w:hAnsi="Arial"/>
          <w:sz w:val="24"/>
          <w:szCs w:val="24"/>
        </w:rPr>
        <w:t xml:space="preserve">16. Пункт 13 Приложения 17 изложить в следующей редакции:</w:t>
      </w:r>
    </w:p>
    <w:p>
      <w:pPr>
        <w:spacing w:after="120"/>
        <w:jc w:val="both"/>
      </w:pPr>
      <w:r>
        <w:rPr>
          <w:rFonts w:ascii="Arial" w:cs="Arial" w:eastAsia="Arial" w:hAnsi="Arial"/>
          <w:sz w:val="24"/>
          <w:szCs w:val="24"/>
        </w:rPr>
        <w:t xml:space="preserve">"13. Укажите компании в любой стране, в которых Вы являлись и/или являетесь учредителем, акционером (владельцем) в течение последних 10 лет:</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15"/>
        <w:gridCol w:w="1512"/>
        <w:gridCol w:w="1637"/>
        <w:gridCol w:w="1071"/>
        <w:gridCol w:w="1596"/>
        <w:gridCol w:w="2447"/>
      </w:tblGrid>
      <w:tr>
        <w:tc>
          <w:tcPr>
            <w:tcW w:type="dxa" w:w="191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юридического лица, местонахождение</w:t>
            </w:r>
          </w:p>
        </w:tc>
        <w:tc>
          <w:tcPr>
            <w:tcW w:type="dxa" w:w="15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деятельности юридического лица</w:t>
            </w:r>
          </w:p>
        </w:tc>
        <w:tc>
          <w:tcPr>
            <w:tcW w:type="dxa" w:w="16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акций, находящихся во владении</w:t>
            </w:r>
          </w:p>
        </w:tc>
        <w:tc>
          <w:tcPr>
            <w:tcW w:type="dxa" w:w="10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владения в капитале в сомах</w:t>
            </w:r>
          </w:p>
        </w:tc>
        <w:tc>
          <w:tcPr>
            <w:tcW w:type="dxa" w:w="15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 уставном капитале данного юридического лица в %</w:t>
            </w:r>
          </w:p>
        </w:tc>
        <w:tc>
          <w:tcPr>
            <w:tcW w:type="dxa" w:w="24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 налогоплательщика</w:t>
            </w:r>
          </w:p>
          <w:p>
            <w:pPr>
              <w:jc w:val="left"/>
            </w:pPr>
            <w:r>
              <w:rPr>
                <w:rFonts w:ascii="Arial" w:cs="Arial" w:eastAsia="Arial" w:hAnsi="Arial"/>
                <w:sz w:val="24"/>
                <w:szCs w:val="24"/>
              </w:rPr>
              <w:t xml:space="preserve">(ИНН)</w:t>
            </w:r>
          </w:p>
        </w:tc>
      </w:tr>
      <w:tr>
        <w:tc>
          <w:tcPr>
            <w:tcW w:type="dxa" w:w="19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Пункт 2.3 Приложения 18 изложить в следующей редакции:</w:t>
      </w:r>
    </w:p>
    <w:p>
      <w:pPr>
        <w:spacing w:after="120"/>
        <w:jc w:val="both"/>
      </w:pPr>
      <w:r>
        <w:rPr>
          <w:rFonts w:ascii="Arial" w:cs="Arial" w:eastAsia="Arial" w:hAnsi="Arial"/>
          <w:sz w:val="24"/>
          <w:szCs w:val="24"/>
        </w:rPr>
        <w:t xml:space="preserve">"2.3. Укажите компании в любой стране, в которых Вы являлись и/или являетесь учредителем, акционером (владельцем) в течение последних 10 лет:</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15"/>
        <w:gridCol w:w="1512"/>
        <w:gridCol w:w="1637"/>
        <w:gridCol w:w="1071"/>
        <w:gridCol w:w="1596"/>
        <w:gridCol w:w="2447"/>
      </w:tblGrid>
      <w:tr>
        <w:tc>
          <w:tcPr>
            <w:tcW w:type="dxa" w:w="191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юридического лица, местонахождение</w:t>
            </w:r>
          </w:p>
        </w:tc>
        <w:tc>
          <w:tcPr>
            <w:tcW w:type="dxa" w:w="15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деятельности юридического лица</w:t>
            </w:r>
          </w:p>
        </w:tc>
        <w:tc>
          <w:tcPr>
            <w:tcW w:type="dxa" w:w="16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акций, находящихся во владении</w:t>
            </w:r>
          </w:p>
        </w:tc>
        <w:tc>
          <w:tcPr>
            <w:tcW w:type="dxa" w:w="10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владения в капитале в сомах</w:t>
            </w:r>
          </w:p>
        </w:tc>
        <w:tc>
          <w:tcPr>
            <w:tcW w:type="dxa" w:w="15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 уставном капитале данного юридического лица в %</w:t>
            </w:r>
          </w:p>
        </w:tc>
        <w:tc>
          <w:tcPr>
            <w:tcW w:type="dxa" w:w="24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 налогоплательщика</w:t>
            </w:r>
          </w:p>
          <w:p>
            <w:pPr>
              <w:jc w:val="left"/>
            </w:pPr>
            <w:r>
              <w:rPr>
                <w:rFonts w:ascii="Arial" w:cs="Arial" w:eastAsia="Arial" w:hAnsi="Arial"/>
                <w:sz w:val="24"/>
                <w:szCs w:val="24"/>
              </w:rPr>
              <w:t xml:space="preserve">(ИНН)</w:t>
            </w:r>
          </w:p>
        </w:tc>
      </w:tr>
      <w:tr>
        <w:tc>
          <w:tcPr>
            <w:tcW w:type="dxa" w:w="19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Пункт 4.2 Приложения 18 изложить в следующей редакции:</w:t>
      </w:r>
    </w:p>
    <w:p>
      <w:pPr>
        <w:spacing w:after="120"/>
        <w:jc w:val="both"/>
      </w:pPr>
      <w:r>
        <w:rPr>
          <w:rFonts w:ascii="Arial" w:cs="Arial" w:eastAsia="Arial" w:hAnsi="Arial"/>
          <w:sz w:val="24"/>
          <w:szCs w:val="24"/>
        </w:rPr>
        <w:t xml:space="preserve">"4.2. Я, 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Подтверждаю, что вышепредставленная информация в анкете является достоверной и полной и предоставлена в соответствии с моими знаниями и информацией по указанным в анкете вопросам. Признаю, что в случае допущения с моей стороны преднамеренных искажений и упущений, это может послужить основанием для отказа в удовлетворении заявки на приобретение акций банка и повлечь ответственность в соответствии с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 "___" ____________ г.".</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b1zyqwhz3a2ibnjgwfg">
      <w:r>
        <w:rPr>
          <w:rFonts w:ascii="Arial" w:cs="Arial" w:eastAsia="Arial" w:hAnsi="Arial"/>
          <w:color w:val="132D3F"/>
          <w:sz w:val="16"/>
          <w:szCs w:val="16"/>
          <w:u w:val="single"/>
        </w:rPr>
        <w:t xml:space="preserve">dalil.kg/document/302622</w:t>
      </w:r>
    </w:hyperlink>
  </w:p>
  <w:p>
    <w:pPr>
      <w:spacing w:after="0" w:before="40"/>
      <w:jc w:val="center"/>
    </w:pPr>
    <w:hyperlink w:history="1" r:id="rIdpf9wubmywfk7sunmeoye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fvrli1x_o8rkmm4jxk21" Type="http://schemas.openxmlformats.org/officeDocument/2006/relationships/hyperlink" Target="https://dalil.kg/document/800233" TargetMode="External"/><Relationship Id="rIddshmn2tbmwye_ah67qz0y" Type="http://schemas.openxmlformats.org/officeDocument/2006/relationships/hyperlink" Target="https://dalil.kg/document/559" TargetMode="External"/><Relationship Id="rId3apcojr7nemwzi8srgohr" Type="http://schemas.openxmlformats.org/officeDocument/2006/relationships/hyperlink" Target="https://dalil.kg/document/300400" TargetMode="External"/><Relationship Id="rIdgt7tup8z40dfjywrtdmwt" Type="http://schemas.openxmlformats.org/officeDocument/2006/relationships/hyperlink" Target="https://dalil.kg/document/300399" TargetMode="External"/><Relationship Id="rIddj3ahhguz-wdhcxi802e9" Type="http://schemas.openxmlformats.org/officeDocument/2006/relationships/hyperlink" Target="https://dalil.kg/document/300400" TargetMode="External"/><Relationship Id="rIdclg0jzwqcgo-fvxri0suf" Type="http://schemas.openxmlformats.org/officeDocument/2006/relationships/hyperlink" Target="https://dalil.kg/document/300399" TargetMode="External"/><Relationship Id="rId9ckcrngbjqjdwlvydjsqn" Type="http://schemas.openxmlformats.org/officeDocument/2006/relationships/hyperlink" Target="https://dalil.kg/document/300400"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b1zyqwhz3a2ibnjgwfg" Type="http://schemas.openxmlformats.org/officeDocument/2006/relationships/hyperlink" Target="https://dalil.kg/document/302622" TargetMode="External"/><Relationship Id="rIdpf9wubmywfk7sunmeoye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2026-09-25T00:36:26.243Z</dcterms:created>
  <dcterms:modified xsi:type="dcterms:W3CDTF">2026-09-25T00:36:26.243Z</dcterms:modified>
</cp:coreProperties>
</file>

<file path=docProps/custom.xml><?xml version="1.0" encoding="utf-8"?>
<Properties xmlns="http://schemas.openxmlformats.org/officeDocument/2006/custom-properties" xmlns:vt="http://schemas.openxmlformats.org/officeDocument/2006/docPropsVTypes"/>
</file>