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2013 года № 39/8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
 Национального банка Кыргызской Республики № 51/6 от 28 декабря
  2009 года "О некоторых нормативных правовых актах
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p_vgcyzyvbhkwnujzty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dssiq_spg0bxcf9m0bw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lsd1pcf6vhdqprus2kg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51/6 от 28 декабря 2009 года "О некоторых нормативных правовых актах Национального банка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действие </w:t>
      </w:r>
      <w:hyperlink w:history="1" r:id="rIds_il5j9zo90ixch_blv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финансирования", утвержденное </w:t>
      </w:r>
      <w:hyperlink w:history="1" r:id="rIdgoyuuxknte8uubgoqpf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51/6 от 28 декабря 2009 года распространяется на ЗАО "ЭкоИсламикБанк" при осуществлении им операций в соответствии с исламскими принципами банковского дела и финансирования в рамках пилотного проекта.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2 </w:t>
      </w:r>
      <w:hyperlink w:history="1" r:id="rId-eqhqazryc43hvcxuy7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28 декабря 2009 года № 51/6 "О некоторых нормативных правовых актах Национального банка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после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Юридическому управлению: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cs7ccr1laavdbuiyk4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23 октября 2013 года № 39/8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
  № 51/6 от 28 декабря 2009 года "О некоторых нормативных правовых актах
  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818l-xsuh_otu6qwi8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финансирования, утвержденное </w:t>
      </w:r>
      <w:hyperlink w:history="1" r:id="rIdy8qs1af3ofeberdti96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28 декабря 2009 года № 51/6,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9nwvipkxymtykeujp-w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"исламские банки и на банки, имеющие "исламское окно" заменить словами "банки, микрофинансовые компании, имеющие право на привлечение депозитов и осуществляющие деятельность в соответствии с исламскими принципами банковского дела и финансирования".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zx-q4sacxrw3kz1-jcb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"2. Целью настоящего Положения является установление минимальных требований по классификации активов и забалансовых обязательств, размещенных/принятых в соответствии с исламскими принципами банковского дела и финансирования (далее - активы), а также по созданию соответствующих резервов на покрытие потенциальных потерь и убытков (далее по тексту - РППУ) в целях регулирования и надзора.".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ddoymysgmxc0jilp1pp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"клиентом" дополнить словами "/партнером/поставщиком (далее - клиент)".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0frmwux6nygdmiijefh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"Один или совокупность" заменить словом "Совокупность".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Главу 3 дополнить пунктами </w:t>
      </w:r>
      <w:hyperlink w:history="1" r:id="rId4otem9lbreultdyhyhe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-1 и </w:t>
      </w:r>
      <w:hyperlink w:history="1" r:id="rIdshbfhb6ctwlagimmoda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-2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xfigwtwljew0sglk2o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-1. При проведении классификации активов банковской группы, предоставленных одному и тому же клиенту или группе связанных клиентов, необходимо учитывать классификацию данных активов, проведенную каждым из участников банковской группы и классифицировать данные активы по наихудшей из категорий классификации, проведенной каждым участником банковской группы по данным активам.</w:t>
      </w:r>
    </w:p>
    <w:p>
      <w:pPr>
        <w:spacing w:after="120"/>
        <w:jc w:val="left"/>
      </w:pPr>
      <w:hyperlink w:history="1" r:id="rIdrzf5whtvebg6ikxyuji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-2. При проведении классификации активов банком должно быть учтено соблюдение клиентом условий договора по любому другому активу, несущему в себе кредитный риск/кредиту, в случае, если у клиента имеется непогашенная задолженность перед другими финансово-кредитными учреждениями. В связи с этим необходимо отслеживать наличие у клиента других активов, несущих в себе кредитный риск/кредитов, и в других финансово-кредитных учреждениях на момент рассмотрения заявки, используя информацию, получаемую от клиента, через кредитно-информационное бюро, или иным доступным способом в рамках законодательства Кыргызской Республики. В дальнейшем, в процессе мониторинга актива, необходимо учитывать информацию, получаемую от клиента, о наличии у него активов, несущих в себе кредитный риск/кредитов и полученных в других финансово-кредитных учреждениях, а также информацию о соблюдении им условий договора по данным активам. Договором финансирования/кредитным договором должна быть предусмотрена обязанность предоставления клиентом не реже, чем 1 раз в полгода, указанной информации во время действия договора. При этом все финансово-кредитные учреждения обязаны предоставлять в течение 3-х рабочих дней по запросу клиента информацию о получении актива, несущего в себе кредитный риск/кредита, и о соблюдении клиентом условий договора для ее предоставления в другое финансово-кредитное учреждение.".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mpp8khtrodpoh9cpncz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двенадцатым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"- наличие первой реструктуризации актива".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jt77uxgc0532b5pwjma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десятым и одиннадцатым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"- невыполнение клиентом - физическим лицом, в том числе, являющимся индивидуальным предпринимателем без образования юридического лица, условий договора более 30 дней по любому другому активу, несущему в себе кредитный риск, за исключением активов, профинансированных по целевым государственным программам Правительства Кыргызской Республики в данном банке и/или другом финансово-кредитном учреждении;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невыполнение супругом(ой), родителями и детьми клиента - физического лица, в том числе, являющегося индивидуальным предпринимателем без образования юридического лица, условий договора более 30 дней по активам, несущим в себе кредитный риск, перед данным банком и/или другими финансово-кредитными учреждениями, за исключением активов, профинансированных по целевым государственным программам Правительства Кыргызской Республики, при условии, что источник погашения всех вышеуказанных активов один и тот же. При этом под одним и тем же источником погашения активов, несущих в себе кредитный риск, понимается совокупный доход вышеуказанных лиц, учтенный финансово-кредитным учреждением при принятии решения о выдаче актива, включая доход от предпринимательской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Признаки, указанные в абзацах десятом и одиннадцатом настоящего пункта, не распространяются на овердрафты в рамках зарплатных проектов.".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Наименование главы 5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"5. Отдельные случаи классификации".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Главу 5 дополнить пунктом </w:t>
      </w:r>
      <w:hyperlink w:history="1" r:id="rIdackajcdmz801ssycnay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-1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"27-1. В случае, если клиент - физическое лицо, в том числе, являющийся индивидуальным предпринимателем без образования юридического лица, имеет в банке несколько активов, несущих в себе кредитный риск, то ко всем его активам применяется классификация, которая присвоена по его активу с наибольшей задолженностью, если эта классификация является наихудшей.".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В пункте 33 слово "Реструктуризированные" заменить словами "Повторно реструктуризированные".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В пункте 33 слово "заемщика" заменить словом "клиента".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Положение дополнить главой </w:t>
      </w:r>
      <w:hyperlink w:history="1" r:id="rIdquc06wbahpkqil03aqr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 "</w:t>
      </w:r>
      <w:hyperlink w:history="1" r:id="rIdzxiwplrf2v5wzosxe4v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10-1</w:t>
        </w:r>
      </w:hyperlink>
      <w:r>
        <w:rPr>
          <w:rFonts w:ascii="Arial" w:cs="Arial" w:eastAsia="Arial" w:hAnsi="Arial"/>
          <w:sz w:val="24"/>
          <w:szCs w:val="24"/>
        </w:rPr>
        <w:t xml:space="preserve">. Классификация трансграничных активов и активов, которые обеспечены залогом, находящимся за пределами Кыргызской Республики</w:t>
      </w:r>
    </w:p>
    <w:p>
      <w:pPr>
        <w:spacing w:after="120"/>
        <w:jc w:val="left"/>
      </w:pPr>
      <w:hyperlink w:history="1" r:id="rIdfm4wmdavwwj1wdc34kq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43-1</w:t>
        </w:r>
      </w:hyperlink>
      <w:r>
        <w:rPr>
          <w:rFonts w:ascii="Arial" w:cs="Arial" w:eastAsia="Arial" w:hAnsi="Arial"/>
          <w:sz w:val="24"/>
          <w:szCs w:val="24"/>
        </w:rPr>
        <w:t xml:space="preserve">. Трансграничные активы и активы, которые обеспечены залогом, находящимся за пределами Кыргызской Республики, при их выдаче классифицируются как активы под наблюдением.</w:t>
      </w:r>
    </w:p>
    <w:p>
      <w:pPr>
        <w:spacing w:after="120"/>
        <w:jc w:val="left"/>
      </w:pPr>
      <w:hyperlink w:history="1" r:id="rIdq1zcj32oequ7h6mhiv5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43-2</w:t>
        </w:r>
      </w:hyperlink>
      <w:r>
        <w:rPr>
          <w:rFonts w:ascii="Arial" w:cs="Arial" w:eastAsia="Arial" w:hAnsi="Arial"/>
          <w:sz w:val="24"/>
          <w:szCs w:val="24"/>
        </w:rPr>
        <w:t xml:space="preserve">. Как активы под наблюдением классифицируются также активы, по которым залог, находящийся за пределами Кыргызской Республики, не является единственным обеспечением, но качество и стоимость залога, включая его соотношение к размеру актива, несущего в себе кредитный риск, на территории Кыргызской Республики, не удовлетворяет соответствующим требованиям Национального банка Кыргызской Республики и внутренним политикам банков.".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В </w:t>
      </w:r>
      <w:hyperlink w:history="1" r:id="rIdutlawx0ewqapz8bkrij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50</w:t>
        </w:r>
      </w:hyperlink>
      <w:r>
        <w:rPr>
          <w:rFonts w:ascii="Arial" w:cs="Arial" w:eastAsia="Arial" w:hAnsi="Arial"/>
          <w:sz w:val="24"/>
          <w:szCs w:val="24"/>
        </w:rPr>
        <w:t xml:space="preserve"> четвертое предложение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"Проверка может быть произведена как за счет внутренних ресурсов банка, так и с помощью привлеченных внешних экспертов.".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nw0smooimnqpmadve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dalil.kg/document/302789</w:t>
      </w:r>
    </w:hyperlink>
  </w:p>
  <w:p>
    <w:pPr>
      <w:spacing w:after="0" w:before="40"/>
      <w:jc w:val="center"/>
    </w:pPr>
    <w:hyperlink w:history="1" r:id="rIdmwkcdzkvudiyqgfl0d4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vgcyzyvbhkwnujztydu" Type="http://schemas.openxmlformats.org/officeDocument/2006/relationships/hyperlink" Target="https://dalil.kg/document/559" TargetMode="External"/><Relationship Id="rIddssiq_spg0bxcf9m0bwvm" Type="http://schemas.openxmlformats.org/officeDocument/2006/relationships/hyperlink" Target="https://dalil.kg/document/302789" TargetMode="External"/><Relationship Id="rIdlsd1pcf6vhdqprus2kghw" Type="http://schemas.openxmlformats.org/officeDocument/2006/relationships/hyperlink" Target="https://dalil.kg/document/301269" TargetMode="External"/><Relationship Id="rIds_il5j9zo90ixch_blvsg" Type="http://schemas.openxmlformats.org/officeDocument/2006/relationships/hyperlink" Target="https://dalil.kg/document/302291" TargetMode="External"/><Relationship Id="rIdgoyuuxknte8uubgoqpf3v" Type="http://schemas.openxmlformats.org/officeDocument/2006/relationships/hyperlink" Target="https://dalil.kg/document/301269" TargetMode="External"/><Relationship Id="rId-eqhqazryc43hvcxuy7ar" Type="http://schemas.openxmlformats.org/officeDocument/2006/relationships/hyperlink" Target="https://dalil.kg/document/301269" TargetMode="External"/><Relationship Id="rIdscs7ccr1laavdbuiyk4ca" Type="http://schemas.openxmlformats.org/officeDocument/2006/relationships/hyperlink" Target="https://dalil.kg/document/302789" TargetMode="External"/><Relationship Id="rIdd818l-xsuh_otu6qwi8ha" Type="http://schemas.openxmlformats.org/officeDocument/2006/relationships/hyperlink" Target="https://dalil.kg/document/302291" TargetMode="External"/><Relationship Id="rIdy8qs1af3ofeberdti96t7" Type="http://schemas.openxmlformats.org/officeDocument/2006/relationships/hyperlink" Target="https://dalil.kg/document/301269" TargetMode="External"/><Relationship Id="rId9nwvipkxymtykeujp-wty" Type="http://schemas.openxmlformats.org/officeDocument/2006/relationships/hyperlink" Target="https://dalil.kg/document/302291#pk1" TargetMode="External"/><Relationship Id="rIdzx-q4sacxrw3kz1-jcbsh" Type="http://schemas.openxmlformats.org/officeDocument/2006/relationships/hyperlink" Target="https://dalil.kg/document/302291#pk2" TargetMode="External"/><Relationship Id="rIdddoymysgmxc0jilp1ppne" Type="http://schemas.openxmlformats.org/officeDocument/2006/relationships/hyperlink" Target="https://dalil.kg/document/302291#pk5" TargetMode="External"/><Relationship Id="rId0frmwux6nygdmiijefh8g" Type="http://schemas.openxmlformats.org/officeDocument/2006/relationships/hyperlink" Target="https://dalil.kg/document/302291#pk16" TargetMode="External"/><Relationship Id="rId4otem9lbreultdyhyhef1" Type="http://schemas.openxmlformats.org/officeDocument/2006/relationships/hyperlink" Target="https://dalil.kg/document/pk17" TargetMode="External"/><Relationship Id="rIdshbfhb6ctwlagimmodael" Type="http://schemas.openxmlformats.org/officeDocument/2006/relationships/hyperlink" Target="https://dalil.kg/document/302291#pk17" TargetMode="External"/><Relationship Id="rId2xfigwtwljew0sglk2olx" Type="http://schemas.openxmlformats.org/officeDocument/2006/relationships/hyperlink" Target="https://dalil.kg/document/302291#pk17" TargetMode="External"/><Relationship Id="rIdrzf5whtvebg6ikxyujigf" Type="http://schemas.openxmlformats.org/officeDocument/2006/relationships/hyperlink" Target="https://dalil.kg/document/302291#pk17" TargetMode="External"/><Relationship Id="rIdmpp8khtrodpoh9cpnczdy" Type="http://schemas.openxmlformats.org/officeDocument/2006/relationships/hyperlink" Target="https://dalil.kg/document/302291#pk23" TargetMode="External"/><Relationship Id="rIdjt77uxgc0532b5pwjma1p" Type="http://schemas.openxmlformats.org/officeDocument/2006/relationships/hyperlink" Target="https://dalil.kg/document/302291#pk24" TargetMode="External"/><Relationship Id="rIdackajcdmz801ssycnayet" Type="http://schemas.openxmlformats.org/officeDocument/2006/relationships/hyperlink" Target="https://dalil.kg/document/302291#pk27" TargetMode="External"/><Relationship Id="rIdquc06wbahpkqil03aqrs5" Type="http://schemas.openxmlformats.org/officeDocument/2006/relationships/hyperlink" Target="https://dalil.kg/document/302291#pk10" TargetMode="External"/><Relationship Id="rIdzxiwplrf2v5wzosxe4vtn" Type="http://schemas.openxmlformats.org/officeDocument/2006/relationships/hyperlink" Target="https://dalil.kg/document/302291#pk10" TargetMode="External"/><Relationship Id="rIdfm4wmdavwwj1wdc34kqkp" Type="http://schemas.openxmlformats.org/officeDocument/2006/relationships/hyperlink" Target="https://dalil.kg/document/302291#pk43" TargetMode="External"/><Relationship Id="rIdq1zcj32oequ7h6mhiv5yj" Type="http://schemas.openxmlformats.org/officeDocument/2006/relationships/hyperlink" Target="https://dalil.kg/document/302291#pk43" TargetMode="External"/><Relationship Id="rIdutlawx0ewqapz8bkrij0m" Type="http://schemas.openxmlformats.org/officeDocument/2006/relationships/hyperlink" Target="https://dalil.kg/document/302291#pk50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nw0smooimnqpmadvekg" Type="http://schemas.openxmlformats.org/officeDocument/2006/relationships/hyperlink" Target="https://dalil.kg/document/302789" TargetMode="External"/><Relationship Id="rIdmwkcdzkvudiyqgfl0d4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2026-09-24T14:56:55.530Z</dcterms:created>
  <dcterms:modified xsi:type="dcterms:W3CDTF">2026-09-24T14:56:55.530Z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