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НАЦИОНАЛЬНЫЙ БАНК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ноября 2013 года № 45/16</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Руководствуясь статьями 7 и 43 </w:t>
      </w:r>
      <w:hyperlink w:history="1" r:id="rIdcplals7_e6zavvvhplps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Правление Национального банка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hyperlink w:history="1" r:id="rIdfevtw8hjl1pdwhzl1_jox">
        <w:r>
          <w:rPr>
            <w:rFonts w:ascii="Arial" w:cs="Arial" w:eastAsia="Arial" w:hAnsi="Arial"/>
            <w:color w:val="1D4ED8"/>
            <w:sz w:val="24"/>
            <w:szCs w:val="24"/>
            <w:u w:val="single"/>
          </w:rPr>
          <w:t xml:space="preserve">изменения и дополнения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t>
      </w:r>
      <w:hyperlink w:history="1" r:id="rIdjzi4abw7nkf52qp7up9n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банках и в других финансово-кредитных учреждениях, лицензируемых Национальным банком Кыргызской Республики", утвержденное </w:t>
      </w:r>
      <w:hyperlink w:history="1" r:id="rIdcl9difszqn8uhssvbpp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52/4 от 30.06.2010 года;</w:t>
      </w:r>
    </w:p>
    <w:p>
      <w:pPr>
        <w:spacing w:after="120"/>
        <w:jc w:val="both"/>
      </w:pPr>
      <w:r>
        <w:rPr>
          <w:rFonts w:ascii="Arial" w:cs="Arial" w:eastAsia="Arial" w:hAnsi="Arial"/>
          <w:sz w:val="24"/>
          <w:szCs w:val="24"/>
        </w:rPr>
        <w:t xml:space="preserve">- </w:t>
      </w:r>
      <w:hyperlink w:history="1" r:id="rIdf3ouslcjdgbdmcv9fl9m6">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утвержденный </w:t>
      </w:r>
      <w:hyperlink w:history="1" r:id="rIdefawloy-kfugsnstt-rl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5/6 от 2.03.2006 года, зарегистрированным в Министерстве юстиции Кыргызской Республики 7 апреля 2006 года, регистрационный номер 35-06;</w:t>
      </w:r>
    </w:p>
    <w:p>
      <w:pPr>
        <w:spacing w:after="120"/>
        <w:jc w:val="both"/>
      </w:pPr>
      <w:r>
        <w:rPr>
          <w:rFonts w:ascii="Arial" w:cs="Arial" w:eastAsia="Arial" w:hAnsi="Arial"/>
          <w:sz w:val="24"/>
          <w:szCs w:val="24"/>
        </w:rPr>
        <w:t xml:space="preserve">- </w:t>
      </w:r>
      <w:hyperlink w:history="1" r:id="rIdtebtmyiyhqigwpfelifi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w:history="1" r:id="rIdhejqaaz7oezzmfubfclj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35/14 от 25 сентября 2013 г.;</w:t>
      </w:r>
    </w:p>
    <w:p>
      <w:pPr>
        <w:spacing w:after="120"/>
        <w:jc w:val="both"/>
      </w:pPr>
      <w:r>
        <w:rPr>
          <w:rFonts w:ascii="Arial" w:cs="Arial" w:eastAsia="Arial" w:hAnsi="Arial"/>
          <w:sz w:val="24"/>
          <w:szCs w:val="24"/>
        </w:rPr>
        <w:t xml:space="preserve">-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 31/3 от 22 октября 2003 года.</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довести настоящее постановление до сведения коммерческих банков, Государственного Банка Развития, микрофинансовых организаций.</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заместителя Председателя Национального банка Кыргызской Республики Чокоева З.Л.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З. Асанкожоева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Изменения и дополнения в некоторые нормативные правовые акты Национального банка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Внести в </w:t>
      </w:r>
      <w:hyperlink w:history="1" r:id="rIdvwzksqag3y7jv6k56rlcw">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в других финансово-кредитных учреждениях, лицензируемых Национальным банком Кыргызской Республики", утвержденное </w:t>
      </w:r>
      <w:hyperlink w:history="1" r:id="rIdarl_pax3azxcwivyh1m1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52/4 от 30 июня 2010 г., следующие дополнения:</w:t>
      </w:r>
    </w:p>
    <w:p>
      <w:pPr>
        <w:spacing w:after="120"/>
        <w:jc w:val="both"/>
      </w:pPr>
      <w:r>
        <w:rPr>
          <w:rFonts w:ascii="Arial" w:cs="Arial" w:eastAsia="Arial" w:hAnsi="Arial"/>
          <w:sz w:val="24"/>
          <w:szCs w:val="24"/>
        </w:rPr>
        <w:t xml:space="preserve">1) в пункте 30 шестой абзац дополнить предложением следующего содержания:</w:t>
      </w:r>
    </w:p>
    <w:p>
      <w:pPr>
        <w:spacing w:after="120"/>
        <w:jc w:val="both"/>
      </w:pPr>
      <w:r>
        <w:rPr>
          <w:rFonts w:ascii="Arial" w:cs="Arial" w:eastAsia="Arial" w:hAnsi="Arial"/>
          <w:sz w:val="24"/>
          <w:szCs w:val="24"/>
        </w:rPr>
        <w:t xml:space="preserve">"При рассмотрении заявки на получение кредита участников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120"/>
        <w:jc w:val="both"/>
      </w:pPr>
      <w:r>
        <w:rPr>
          <w:rFonts w:ascii="Arial" w:cs="Arial" w:eastAsia="Arial" w:hAnsi="Arial"/>
          <w:sz w:val="24"/>
          <w:szCs w:val="24"/>
        </w:rPr>
        <w:t xml:space="preserve">2) пункт 30 дополнить абзацами следующего содержания:</w:t>
      </w:r>
    </w:p>
    <w:p>
      <w:pPr>
        <w:spacing w:after="120"/>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120"/>
        <w:jc w:val="both"/>
      </w:pPr>
      <w:r>
        <w:rPr>
          <w:rFonts w:ascii="Arial" w:cs="Arial" w:eastAsia="Arial" w:hAnsi="Arial"/>
          <w:sz w:val="24"/>
          <w:szCs w:val="24"/>
        </w:rPr>
        <w:t xml:space="preserve">3) пункт 41 между абзацами 6 и 7 дополнить абзацем следующего содержания:</w:t>
      </w:r>
    </w:p>
    <w:p>
      <w:pPr>
        <w:spacing w:after="120"/>
        <w:jc w:val="both"/>
      </w:pPr>
      <w:r>
        <w:rPr>
          <w:rFonts w:ascii="Arial" w:cs="Arial" w:eastAsia="Arial" w:hAnsi="Arial"/>
          <w:sz w:val="24"/>
          <w:szCs w:val="24"/>
        </w:rPr>
        <w:t xml:space="preserve">"- право клиента на досрочное погашение кредита, при условии уведомления об этом банка не менее чем за тридцать дней до дня такого возврата.";</w:t>
      </w:r>
    </w:p>
    <w:p>
      <w:pPr>
        <w:spacing w:after="120"/>
        <w:jc w:val="both"/>
      </w:pPr>
      <w:r>
        <w:rPr>
          <w:rFonts w:ascii="Arial" w:cs="Arial" w:eastAsia="Arial" w:hAnsi="Arial"/>
          <w:sz w:val="24"/>
          <w:szCs w:val="24"/>
        </w:rPr>
        <w:t xml:space="preserve">4) пункт 41 дополнить абзацем следующего содержания:</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банка, а также соблюдения условий по минимальному количеству состава ГСО, участник,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2. Внести в </w:t>
      </w:r>
      <w:hyperlink w:history="1" r:id="rIdqj7gekq1kuithyzoahsc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по управлению кредитным риском в микрофинансовых организациях, непривлекающих вклады (депозиты)", утвержденное </w:t>
      </w:r>
      <w:hyperlink w:history="1" r:id="rId3jfyyzw5yhfwyhmojzh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35/14 от 25.09.2013 г., следующие дополнения:</w:t>
      </w:r>
    </w:p>
    <w:p>
      <w:pPr>
        <w:spacing w:after="120"/>
        <w:jc w:val="both"/>
      </w:pPr>
      <w:r>
        <w:rPr>
          <w:rFonts w:ascii="Arial" w:cs="Arial" w:eastAsia="Arial" w:hAnsi="Arial"/>
          <w:sz w:val="24"/>
          <w:szCs w:val="24"/>
        </w:rPr>
        <w:t xml:space="preserve">1) пункт 18 дополнить абзацами 3, 4, 5 следующего содержания:</w:t>
      </w:r>
    </w:p>
    <w:p>
      <w:pPr>
        <w:spacing w:after="120"/>
        <w:jc w:val="both"/>
      </w:pPr>
      <w:r>
        <w:rPr>
          <w:rFonts w:ascii="Arial" w:cs="Arial" w:eastAsia="Arial" w:hAnsi="Arial"/>
          <w:sz w:val="24"/>
          <w:szCs w:val="24"/>
        </w:rPr>
        <w:t xml:space="preserve">"3) участники одного ГСО не являются членами одной семьи, совместно проживающими и/или ведущими совместный бизнес;</w:t>
      </w:r>
    </w:p>
    <w:p>
      <w:pPr>
        <w:spacing w:after="120"/>
        <w:jc w:val="both"/>
      </w:pPr>
      <w:r>
        <w:rPr>
          <w:rFonts w:ascii="Arial" w:cs="Arial" w:eastAsia="Arial" w:hAnsi="Arial"/>
          <w:sz w:val="24"/>
          <w:szCs w:val="24"/>
        </w:rPr>
        <w:t xml:space="preserve">4) количество участников ГСО, не являющихся членами одной семьи, но имеющих совместный бизнес, не должно превышать 20 процентов от общего количества участников данного ГСО;</w:t>
      </w:r>
    </w:p>
    <w:p>
      <w:pPr>
        <w:spacing w:after="120"/>
        <w:jc w:val="both"/>
      </w:pPr>
      <w:r>
        <w:rPr>
          <w:rFonts w:ascii="Arial" w:cs="Arial" w:eastAsia="Arial" w:hAnsi="Arial"/>
          <w:sz w:val="24"/>
          <w:szCs w:val="24"/>
        </w:rPr>
        <w:t xml:space="preserve">5) доля участников ГСО, не являющихся членами одной семьи, но имеющих совместный бизнес, не должна превышать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Положения,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солидарно риск потери всего или части имущества.";</w:t>
      </w:r>
    </w:p>
    <w:p>
      <w:pPr>
        <w:spacing w:after="120"/>
        <w:jc w:val="both"/>
      </w:pPr>
      <w:r>
        <w:rPr>
          <w:rFonts w:ascii="Arial" w:cs="Arial" w:eastAsia="Arial" w:hAnsi="Arial"/>
          <w:sz w:val="24"/>
          <w:szCs w:val="24"/>
        </w:rPr>
        <w:t xml:space="preserve">2) первый абзац пункта 29 изложить в следующей редакции:</w:t>
      </w:r>
    </w:p>
    <w:p>
      <w:pPr>
        <w:spacing w:after="120"/>
        <w:jc w:val="both"/>
      </w:pPr>
      <w:r>
        <w:rPr>
          <w:rFonts w:ascii="Arial" w:cs="Arial" w:eastAsia="Arial" w:hAnsi="Arial"/>
          <w:sz w:val="24"/>
          <w:szCs w:val="24"/>
        </w:rPr>
        <w:t xml:space="preserve">"Кредитный договор, заключаемый между МФО и клиентом, со всеми приложениями к нему и другие договора/соглашения составляются на государственном или официальном языке (с предоставлением права выбора языка клиенту). Количество подлинных экземпляров договоров по кредиту должно быть не менее числа сторон заключивших договор. При групповом кредитовании, когда одной из сторон выступает ГСО, количество подлинных экземпляров кредитного договора для ГСО должно быть не менее чем количество участников ГСО, подписавших договор. МФО должна обеспечить сохранность всех подлинных документов к кредитному договору в соответствии с законодательством Кыргызской Республики.";</w:t>
      </w:r>
    </w:p>
    <w:p>
      <w:pPr>
        <w:spacing w:after="120"/>
        <w:jc w:val="both"/>
      </w:pPr>
      <w:r>
        <w:rPr>
          <w:rFonts w:ascii="Arial" w:cs="Arial" w:eastAsia="Arial" w:hAnsi="Arial"/>
          <w:sz w:val="24"/>
          <w:szCs w:val="24"/>
        </w:rPr>
        <w:t xml:space="preserve">3) пункт 35 дополнить 5 абзацем следующего содержания:</w:t>
      </w:r>
    </w:p>
    <w:p>
      <w:pPr>
        <w:spacing w:after="120"/>
        <w:jc w:val="both"/>
      </w:pPr>
      <w:r>
        <w:rPr>
          <w:rFonts w:ascii="Arial" w:cs="Arial" w:eastAsia="Arial" w:hAnsi="Arial"/>
          <w:sz w:val="24"/>
          <w:szCs w:val="24"/>
        </w:rPr>
        <w:t xml:space="preserve">"5) право каждого участника ГСО на досрочное погашение кредита в своей части, без каких-либо штрафных санкций, при условии уведомления об этом МФО не менее чем за тридцать дней до дня такого возврата.</w:t>
      </w:r>
    </w:p>
    <w:p>
      <w:pPr>
        <w:spacing w:after="120"/>
        <w:jc w:val="both"/>
      </w:pPr>
      <w:r>
        <w:rPr>
          <w:rFonts w:ascii="Arial" w:cs="Arial" w:eastAsia="Arial" w:hAnsi="Arial"/>
          <w:sz w:val="24"/>
          <w:szCs w:val="24"/>
        </w:rPr>
        <w:t xml:space="preserve">В случае досрочного погашения кредита одним из участников ГСО в своей части, он продолжает нести солидарную ответственность по договору поручительства до полного погашения кредита, полученного в составе данного ГСО. При условии согласия участников ГСО и МФО, а также соблюдения условий по минимальному количеству состава ГСО, участник ГСО, погасивший кредит в своей части, может быть освобожден от солидарной ответственности.";</w:t>
      </w:r>
    </w:p>
    <w:p>
      <w:pPr>
        <w:spacing w:after="120"/>
        <w:jc w:val="both"/>
      </w:pPr>
      <w:r>
        <w:rPr>
          <w:rFonts w:ascii="Arial" w:cs="Arial" w:eastAsia="Arial" w:hAnsi="Arial"/>
          <w:sz w:val="24"/>
          <w:szCs w:val="24"/>
        </w:rPr>
        <w:t xml:space="preserve">4) в пункте 38 слова "другого кредита данного заемщика" заменить на слова: "другого кредитного продукта, выданного данному заемщику";</w:t>
      </w:r>
    </w:p>
    <w:p>
      <w:pPr>
        <w:spacing w:after="120"/>
        <w:jc w:val="both"/>
      </w:pPr>
      <w:r>
        <w:rPr>
          <w:rFonts w:ascii="Arial" w:cs="Arial" w:eastAsia="Arial" w:hAnsi="Arial"/>
          <w:sz w:val="24"/>
          <w:szCs w:val="24"/>
        </w:rPr>
        <w:t xml:space="preserve">5) в пункте 41, после слов "поручительства (гарантии)" добавить слова "солидарная ответственность участников ГСО";</w:t>
      </w:r>
    </w:p>
    <w:p>
      <w:pPr>
        <w:spacing w:after="120"/>
        <w:jc w:val="both"/>
      </w:pPr>
      <w:r>
        <w:rPr>
          <w:rFonts w:ascii="Arial" w:cs="Arial" w:eastAsia="Arial" w:hAnsi="Arial"/>
          <w:sz w:val="24"/>
          <w:szCs w:val="24"/>
        </w:rPr>
        <w:t xml:space="preserve">6) в подпункте 7 пункта 1 Приложения 1 добавить слова следующего содержания:</w:t>
      </w:r>
    </w:p>
    <w:p>
      <w:pPr>
        <w:spacing w:after="120"/>
        <w:jc w:val="both"/>
      </w:pPr>
      <w:r>
        <w:rPr>
          <w:rFonts w:ascii="Arial" w:cs="Arial" w:eastAsia="Arial" w:hAnsi="Arial"/>
          <w:sz w:val="24"/>
          <w:szCs w:val="24"/>
        </w:rPr>
        <w:t xml:space="preserve">"А при групповом кредитовании участников ГСО - документ, подтверждающий согласие супруга/ги, полученный через факсимильную, электронную и иными видами связи, с последующим предоставлением оригинала документа.".</w:t>
      </w:r>
    </w:p>
    <w:p>
      <w:pPr>
        <w:spacing w:after="120"/>
        <w:jc w:val="both"/>
      </w:pPr>
      <w:r>
        <w:rPr>
          <w:rFonts w:ascii="Arial" w:cs="Arial" w:eastAsia="Arial" w:hAnsi="Arial"/>
          <w:sz w:val="24"/>
          <w:szCs w:val="24"/>
        </w:rPr>
        <w:t xml:space="preserve">3. Внести во </w:t>
      </w:r>
      <w:hyperlink w:history="1" r:id="rIdfbjjxwtz2qntc9zgmtaxb">
        <w:r>
          <w:rPr>
            <w:rFonts w:ascii="Arial" w:cs="Arial" w:eastAsia="Arial" w:hAnsi="Arial"/>
            <w:color w:val="1D4ED8"/>
            <w:sz w:val="24"/>
            <w:szCs w:val="24"/>
            <w:u w:val="single"/>
          </w:rPr>
          <w:t xml:space="preserve">Временный порядок</w:t>
        </w:r>
      </w:hyperlink>
      <w:r>
        <w:rPr>
          <w:rFonts w:ascii="Arial" w:cs="Arial" w:eastAsia="Arial" w:hAnsi="Arial"/>
          <w:sz w:val="24"/>
          <w:szCs w:val="24"/>
        </w:rPr>
        <w:t xml:space="preserve"> применения специальной классификации кредитов, отвечающих определенным критериям, утвержденный </w:t>
      </w:r>
      <w:hyperlink w:history="1" r:id="rIdgi59ymseyicht7tflblq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 5/6 от 2 марта 2006 г., следующие дополнения:</w:t>
      </w:r>
    </w:p>
    <w:p>
      <w:pPr>
        <w:spacing w:after="120"/>
        <w:jc w:val="both"/>
      </w:pPr>
      <w:r>
        <w:rPr>
          <w:rFonts w:ascii="Arial" w:cs="Arial" w:eastAsia="Arial" w:hAnsi="Arial"/>
          <w:sz w:val="24"/>
          <w:szCs w:val="24"/>
        </w:rPr>
        <w:t xml:space="preserve">1) пункт 1.2. изложить в следующей редакции:</w:t>
      </w:r>
    </w:p>
    <w:p>
      <w:pPr>
        <w:spacing w:after="120"/>
        <w:jc w:val="both"/>
      </w:pPr>
      <w:r>
        <w:rPr>
          <w:rFonts w:ascii="Arial" w:cs="Arial" w:eastAsia="Arial" w:hAnsi="Arial"/>
          <w:sz w:val="24"/>
          <w:szCs w:val="24"/>
        </w:rPr>
        <w:t xml:space="preserve">"Порядок определяет минимальные условия и требования, при соблюдении которых банки/ФКУ применяют специальную классификацию кредитов и осуществляют соответствующие отчисления в резервы на покрытие потенциальных потерь и убытков (далее - РППУ).";</w:t>
      </w:r>
    </w:p>
    <w:p>
      <w:pPr>
        <w:spacing w:after="120"/>
        <w:jc w:val="both"/>
      </w:pPr>
      <w:r>
        <w:rPr>
          <w:rFonts w:ascii="Arial" w:cs="Arial" w:eastAsia="Arial" w:hAnsi="Arial"/>
          <w:sz w:val="24"/>
          <w:szCs w:val="24"/>
        </w:rPr>
        <w:t xml:space="preserve">2) </w:t>
      </w:r>
      <w:hyperlink w:history="1" r:id="rIdgtycsiu2l1jtyophnznxu">
        <w:r>
          <w:rPr>
            <w:rFonts w:ascii="Arial" w:cs="Arial" w:eastAsia="Arial" w:hAnsi="Arial"/>
            <w:color w:val="1D4ED8"/>
            <w:sz w:val="24"/>
            <w:szCs w:val="24"/>
            <w:u w:val="single"/>
          </w:rPr>
          <w:t xml:space="preserve">пункт 2-1</w:t>
        </w:r>
      </w:hyperlink>
      <w:r>
        <w:rPr>
          <w:rFonts w:ascii="Arial" w:cs="Arial" w:eastAsia="Arial" w:hAnsi="Arial"/>
          <w:sz w:val="24"/>
          <w:szCs w:val="24"/>
        </w:rPr>
        <w:t xml:space="preserve"> раздела 2 дополнить подпунктом 2-1.5. следующего содержания:</w:t>
      </w:r>
    </w:p>
    <w:p>
      <w:pPr>
        <w:spacing w:after="120"/>
        <w:jc w:val="both"/>
      </w:pPr>
      <w:r>
        <w:rPr>
          <w:rFonts w:ascii="Arial" w:cs="Arial" w:eastAsia="Arial" w:hAnsi="Arial"/>
          <w:sz w:val="24"/>
          <w:szCs w:val="24"/>
        </w:rPr>
        <w:t xml:space="preserve">"2-1.5. Кредиты, выданные участникам ГСО, имеющим совместный бизнес, должны быть классифицированы как "активы под наблюдением", в случае отсутствия просроченной задолженности по ним.</w:t>
      </w:r>
    </w:p>
    <w:p>
      <w:pPr>
        <w:spacing w:after="120"/>
        <w:jc w:val="both"/>
      </w:pPr>
      <w:r>
        <w:rPr>
          <w:rFonts w:ascii="Arial" w:cs="Arial" w:eastAsia="Arial" w:hAnsi="Arial"/>
          <w:sz w:val="24"/>
          <w:szCs w:val="24"/>
        </w:rPr>
        <w:t xml:space="preserve">В случае образования просроченной задолженности по основной сумме и/или процентам по кредитам, полученным в данном банке/ФКУ участниками ГСО, имеющим совместный бизнес, то по ним должна быть применена классификация в зависимости от количества дней просрочки в соответствии с настоящим Порядком. В случае образования просроченной задолженности по основной сумме и/или процентам по кредиту одного из участников ГСО более 30 дней, то категория классификации, присвоенная кредиту данного участника ГСО в соответствии с настоящим Порядком, должна применяться ко всем кредитам, выданным участникам данной ГСО.".</w:t>
      </w:r>
    </w:p>
    <w:p>
      <w:pPr>
        <w:spacing w:after="120"/>
        <w:jc w:val="both"/>
      </w:pPr>
      <w:r>
        <w:rPr>
          <w:rFonts w:ascii="Arial" w:cs="Arial" w:eastAsia="Arial" w:hAnsi="Arial"/>
          <w:sz w:val="24"/>
          <w:szCs w:val="24"/>
        </w:rPr>
        <w:t xml:space="preserve">4. Внести во Временное положение об общих принципах классификации активов и формировании резервов на покрытие потенциальных потерь и убытков микрофинансовыми организациями в Кыргызской Республике, не имеющими права на осуществление приема вкладов от физических и юридических лиц, утвержденное постановлением Правления Национального банка Кыргызской Республики от 22 октября 2003 года № 31/3 следующее изменение:</w:t>
      </w:r>
    </w:p>
    <w:p>
      <w:pPr>
        <w:spacing w:after="120"/>
        <w:jc w:val="both"/>
      </w:pPr>
      <w:r>
        <w:rPr>
          <w:rFonts w:ascii="Arial" w:cs="Arial" w:eastAsia="Arial" w:hAnsi="Arial"/>
          <w:sz w:val="24"/>
          <w:szCs w:val="24"/>
        </w:rPr>
        <w:t xml:space="preserve">1) Из пункта 3.6. исключить пятый абзац.</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d-sxi9xl-o-us1-5xmxv">
      <w:r>
        <w:rPr>
          <w:rFonts w:ascii="Arial" w:cs="Arial" w:eastAsia="Arial" w:hAnsi="Arial"/>
          <w:color w:val="132D3F"/>
          <w:sz w:val="16"/>
          <w:szCs w:val="16"/>
          <w:u w:val="single"/>
        </w:rPr>
        <w:t xml:space="preserve">dalil.kg/document/302908</w:t>
      </w:r>
    </w:hyperlink>
  </w:p>
  <w:p>
    <w:pPr>
      <w:spacing w:after="0" w:before="40"/>
      <w:jc w:val="center"/>
    </w:pPr>
    <w:hyperlink w:history="1" r:id="rIdukvl_heuwtuo2grkhlah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plals7_e6zavvvhplpsm" Type="http://schemas.openxmlformats.org/officeDocument/2006/relationships/hyperlink" Target="https://dalil.kg/document/559" TargetMode="External"/><Relationship Id="rIdfevtw8hjl1pdwhzl1_jox" Type="http://schemas.openxmlformats.org/officeDocument/2006/relationships/hyperlink" Target="https://dalil.kg/document/302908#p1" TargetMode="External"/><Relationship Id="rIdjzi4abw7nkf52qp7up9nv" Type="http://schemas.openxmlformats.org/officeDocument/2006/relationships/hyperlink" Target="https://dalil.kg/document/302354" TargetMode="External"/><Relationship Id="rIdcl9difszqn8uhssvbppmk" Type="http://schemas.openxmlformats.org/officeDocument/2006/relationships/hyperlink" Target="https://dalil.kg/document/302353" TargetMode="External"/><Relationship Id="rIdf3ouslcjdgbdmcv9fl9m6" Type="http://schemas.openxmlformats.org/officeDocument/2006/relationships/hyperlink" Target="https://dalil.kg/document/301136" TargetMode="External"/><Relationship Id="rIdefawloy-kfugsnstt-rlq" Type="http://schemas.openxmlformats.org/officeDocument/2006/relationships/hyperlink" Target="https://dalil.kg/document/301135" TargetMode="External"/><Relationship Id="rIdtebtmyiyhqigwpfelifi9" Type="http://schemas.openxmlformats.org/officeDocument/2006/relationships/hyperlink" Target="https://dalil.kg/document/300682" TargetMode="External"/><Relationship Id="rIdhejqaaz7oezzmfubfcljl" Type="http://schemas.openxmlformats.org/officeDocument/2006/relationships/hyperlink" Target="https://dalil.kg/document/302904" TargetMode="External"/><Relationship Id="rIdvwzksqag3y7jv6k56rlcw" Type="http://schemas.openxmlformats.org/officeDocument/2006/relationships/hyperlink" Target="https://dalil.kg/document/302354" TargetMode="External"/><Relationship Id="rIdarl_pax3azxcwivyh1m1m" Type="http://schemas.openxmlformats.org/officeDocument/2006/relationships/hyperlink" Target="https://dalil.kg/document/302353" TargetMode="External"/><Relationship Id="rIdqj7gekq1kuithyzoahscm" Type="http://schemas.openxmlformats.org/officeDocument/2006/relationships/hyperlink" Target="https://dalil.kg/document/300682" TargetMode="External"/><Relationship Id="rId3jfyyzw5yhfwyhmojzhs-" Type="http://schemas.openxmlformats.org/officeDocument/2006/relationships/hyperlink" Target="https://dalil.kg/document/302904" TargetMode="External"/><Relationship Id="rIdfbjjxwtz2qntc9zgmtaxb" Type="http://schemas.openxmlformats.org/officeDocument/2006/relationships/hyperlink" Target="https://dalil.kg/document/301136" TargetMode="External"/><Relationship Id="rIdgi59ymseyicht7tflblqk" Type="http://schemas.openxmlformats.org/officeDocument/2006/relationships/hyperlink" Target="https://dalil.kg/document/301135" TargetMode="External"/><Relationship Id="rIdgtycsiu2l1jtyophnznxu" Type="http://schemas.openxmlformats.org/officeDocument/2006/relationships/hyperlink" Target="https://dalil.kg/document/301136#r2"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d-sxi9xl-o-us1-5xmxv" Type="http://schemas.openxmlformats.org/officeDocument/2006/relationships/hyperlink" Target="https://dalil.kg/document/302908" TargetMode="External"/><Relationship Id="rIdukvl_heuwtuo2grkhlah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2026-09-23T21:08:06.624Z</dcterms:created>
  <dcterms:modified xsi:type="dcterms:W3CDTF">2026-09-23T21:08:06.624Z</dcterms:modified>
</cp:coreProperties>
</file>

<file path=docProps/custom.xml><?xml version="1.0" encoding="utf-8"?>
<Properties xmlns="http://schemas.openxmlformats.org/officeDocument/2006/custom-properties" xmlns:vt="http://schemas.openxmlformats.org/officeDocument/2006/docPropsVTypes"/>
</file>