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rumpcbcvfjctoookd_ye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23 декабря 2013 года № 52/9</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международных операциях коммерческого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определяет формы и порядок представления коммерческими банками Кыргызской Республики (далее - банки), информации о движении иностранных активов и обязательств, доходов и расходов по ним, а также собственного капитала банков и распределений прибыли для составления Платежного баланса Кыргызской Республики.</w:t>
      </w:r>
    </w:p>
    <w:p>
      <w:pPr>
        <w:spacing w:after="120"/>
        <w:jc w:val="both"/>
      </w:pPr>
      <w:r>
        <w:rPr>
          <w:rFonts w:ascii="Arial" w:cs="Arial" w:eastAsia="Arial" w:hAnsi="Arial"/>
          <w:sz w:val="24"/>
          <w:szCs w:val="24"/>
        </w:rPr>
        <w:t xml:space="preserve">2. Национальный банк гарантирует конфиденциальность полученных в соответствии с настоящим Положением данных. Полученные данные будут отражаться в платежном балансе Кыргызской Республики только в сводной форме без идентификации отдельных банков.</w:t>
      </w:r>
    </w:p>
    <w:p>
      <w:pPr>
        <w:spacing w:after="120"/>
        <w:jc w:val="both"/>
      </w:pPr>
      <w:r>
        <w:rPr>
          <w:rFonts w:ascii="Arial" w:cs="Arial" w:eastAsia="Arial" w:hAnsi="Arial"/>
          <w:sz w:val="24"/>
          <w:szCs w:val="24"/>
        </w:rPr>
        <w:t xml:space="preserve">Глава 2.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 целях настоящего Положения используются следующие определения:</w:t>
      </w:r>
    </w:p>
    <w:p>
      <w:pPr>
        <w:spacing w:after="120"/>
        <w:jc w:val="both"/>
      </w:pPr>
      <w:r>
        <w:rPr>
          <w:rFonts w:ascii="Arial" w:cs="Arial" w:eastAsia="Arial" w:hAnsi="Arial"/>
          <w:sz w:val="24"/>
          <w:szCs w:val="24"/>
        </w:rPr>
        <w:t xml:space="preserve">1) Платежный баланс Кыргызской Республики - это статистический отчет, отражающий в суммарном виде экономические операции между резидентами и нерезидентами Кыргызской Республики за определенный период времени.</w:t>
      </w:r>
    </w:p>
    <w:p>
      <w:pPr>
        <w:spacing w:after="120"/>
        <w:jc w:val="both"/>
      </w:pPr>
      <w:r>
        <w:rPr>
          <w:rFonts w:ascii="Arial" w:cs="Arial" w:eastAsia="Arial" w:hAnsi="Arial"/>
          <w:sz w:val="24"/>
          <w:szCs w:val="24"/>
        </w:rPr>
        <w:t xml:space="preserve">2) Резидентами являются:</w:t>
      </w:r>
    </w:p>
    <w:p>
      <w:pPr>
        <w:spacing w:after="120"/>
        <w:jc w:val="both"/>
      </w:pPr>
      <w:r>
        <w:rPr>
          <w:rFonts w:ascii="Arial" w:cs="Arial" w:eastAsia="Arial" w:hAnsi="Arial"/>
          <w:sz w:val="24"/>
          <w:szCs w:val="24"/>
        </w:rPr>
        <w:t xml:space="preserve">- физические лица, постоянно проживающие в Кыргызской Республике, в том числе временно находящиеся за пределами Кыргызской Республики менее одного года. Иностранные физические лица являются резидентами Кыргызской Республики, если они проживают, либо намереваются проживать свыше одного года в Кыргызской Республике, кроме работников дипломатических и иных представительств иностранных государств;</w:t>
      </w:r>
    </w:p>
    <w:p>
      <w:pPr>
        <w:spacing w:after="120"/>
        <w:jc w:val="both"/>
      </w:pPr>
      <w:r>
        <w:rPr>
          <w:rFonts w:ascii="Arial" w:cs="Arial" w:eastAsia="Arial" w:hAnsi="Arial"/>
          <w:sz w:val="24"/>
          <w:szCs w:val="24"/>
        </w:rPr>
        <w:t xml:space="preserve">- юридические лица, созданные в соответствии с законодательством Кыргызской Республики с местонахождением в Кыргызской Республике;</w:t>
      </w:r>
    </w:p>
    <w:p>
      <w:pPr>
        <w:spacing w:after="120"/>
        <w:jc w:val="both"/>
      </w:pPr>
      <w:r>
        <w:rPr>
          <w:rFonts w:ascii="Arial" w:cs="Arial" w:eastAsia="Arial" w:hAnsi="Arial"/>
          <w:sz w:val="24"/>
          <w:szCs w:val="24"/>
        </w:rPr>
        <w:t xml:space="preserve">- филиалы и представительства иностранных юридических лиц, созданные в соответствии с законодательством Кыргызской Республики с местонахождением в Кыргызской Республике.</w:t>
      </w:r>
    </w:p>
    <w:p>
      <w:pPr>
        <w:spacing w:after="120"/>
        <w:jc w:val="both"/>
      </w:pPr>
      <w:r>
        <w:rPr>
          <w:rFonts w:ascii="Arial" w:cs="Arial" w:eastAsia="Arial" w:hAnsi="Arial"/>
          <w:sz w:val="24"/>
          <w:szCs w:val="24"/>
        </w:rPr>
        <w:t xml:space="preserve">3) Нерезиденты - это лица, не являющиеся резидентами, включая дипломатические и иные представительства иностранных государств и международных организаций, находящихся в Кыргызской Республике.</w:t>
      </w:r>
    </w:p>
    <w:p>
      <w:pPr>
        <w:spacing w:after="120"/>
        <w:jc w:val="both"/>
      </w:pPr>
      <w:r>
        <w:rPr>
          <w:rFonts w:ascii="Arial" w:cs="Arial" w:eastAsia="Arial" w:hAnsi="Arial"/>
          <w:sz w:val="24"/>
          <w:szCs w:val="24"/>
        </w:rPr>
        <w:t xml:space="preserve">4) Иностранные инвестиции в Кыргызскую Республику - это денежные и материальные вклады в сферу хозяйственной и иной деятельности, а также передача права на интеллектуальную собственность иностранными государствами, юридическими лицами и гражданами.</w:t>
      </w:r>
    </w:p>
    <w:p>
      <w:pPr>
        <w:spacing w:after="120"/>
        <w:jc w:val="both"/>
      </w:pPr>
      <w:r>
        <w:rPr>
          <w:rFonts w:ascii="Arial" w:cs="Arial" w:eastAsia="Arial" w:hAnsi="Arial"/>
          <w:sz w:val="24"/>
          <w:szCs w:val="24"/>
        </w:rPr>
        <w:t xml:space="preserve">5) Иностранными инвесторами в Кыргызской Республике являются иностранные государства, международные организации, иностранные юридические лица и граждане, осуществляющие инвестиции на территории Кыргызской Республики.</w:t>
      </w:r>
    </w:p>
    <w:p>
      <w:pPr>
        <w:spacing w:after="120"/>
        <w:jc w:val="both"/>
      </w:pPr>
      <w:r>
        <w:rPr>
          <w:rFonts w:ascii="Arial" w:cs="Arial" w:eastAsia="Arial" w:hAnsi="Arial"/>
          <w:sz w:val="24"/>
          <w:szCs w:val="24"/>
        </w:rPr>
        <w:t xml:space="preserve">6) Прямой иностранный инвестор - нерезидент, которому принадлежат 10% и больше акционерного капитала банка.</w:t>
      </w:r>
    </w:p>
    <w:p>
      <w:pPr>
        <w:spacing w:after="120"/>
        <w:jc w:val="both"/>
      </w:pPr>
      <w:r>
        <w:rPr>
          <w:rFonts w:ascii="Arial" w:cs="Arial" w:eastAsia="Arial" w:hAnsi="Arial"/>
          <w:sz w:val="24"/>
          <w:szCs w:val="24"/>
        </w:rPr>
        <w:t xml:space="preserve">7) Предприятия иностранного инвестирования - предприятие-нерезидент, в которое банк вкладывает средства.</w:t>
      </w:r>
    </w:p>
    <w:p>
      <w:pPr>
        <w:spacing w:after="120"/>
        <w:jc w:val="both"/>
      </w:pPr>
      <w:r>
        <w:rPr>
          <w:rFonts w:ascii="Arial" w:cs="Arial" w:eastAsia="Arial" w:hAnsi="Arial"/>
          <w:sz w:val="24"/>
          <w:szCs w:val="24"/>
        </w:rPr>
        <w:t xml:space="preserve">8) Прочий иностранный инвестор - нерезидент, которому принадлежат менее 10% акционерного капитала банка.</w:t>
      </w:r>
    </w:p>
    <w:p>
      <w:pPr>
        <w:spacing w:after="120"/>
        <w:jc w:val="both"/>
      </w:pPr>
      <w:r>
        <w:rPr>
          <w:rFonts w:ascii="Arial" w:cs="Arial" w:eastAsia="Arial" w:hAnsi="Arial"/>
          <w:sz w:val="24"/>
          <w:szCs w:val="24"/>
        </w:rPr>
        <w:t xml:space="preserve">9) Не участвующие привилегированные акции - это акции банка, обеспечивающие получение фиксированного дохода, но не дающие право на участие в распределении остаточной стоимости банка при его ликвидации.</w:t>
      </w:r>
    </w:p>
    <w:p>
      <w:pPr>
        <w:spacing w:after="120"/>
        <w:jc w:val="both"/>
      </w:pPr>
      <w:r>
        <w:rPr>
          <w:rFonts w:ascii="Arial" w:cs="Arial" w:eastAsia="Arial" w:hAnsi="Arial"/>
          <w:sz w:val="24"/>
          <w:szCs w:val="24"/>
        </w:rPr>
        <w:t xml:space="preserve">10) Предприятия прямого инвестирования включают:</w:t>
      </w:r>
    </w:p>
    <w:p>
      <w:pPr>
        <w:spacing w:after="120"/>
        <w:jc w:val="both"/>
      </w:pPr>
      <w:r>
        <w:rPr>
          <w:rFonts w:ascii="Arial" w:cs="Arial" w:eastAsia="Arial" w:hAnsi="Arial"/>
          <w:sz w:val="24"/>
          <w:szCs w:val="24"/>
        </w:rPr>
        <w:t xml:space="preserve">Дочерние предприятия - это предприятия-нерезиденты, в котором банк владеет более 50 процентами акций (или другой эквивалент такого участия) над которыми банк может осуществлять контроль. К дочерним предприятиям также относятся предприятия-нерезиденты, в которых банк и его дочерние предприятия совместно владеют, по крайней мере, 50 процентами акций, дающих право голоса.</w:t>
      </w:r>
    </w:p>
    <w:p>
      <w:pPr>
        <w:spacing w:after="120"/>
        <w:jc w:val="both"/>
      </w:pPr>
      <w:r>
        <w:rPr>
          <w:rFonts w:ascii="Arial" w:cs="Arial" w:eastAsia="Arial" w:hAnsi="Arial"/>
          <w:sz w:val="24"/>
          <w:szCs w:val="24"/>
        </w:rPr>
        <w:t xml:space="preserve">Ассоциированные предприятия - предприятия-нерезиденты в отношении которых банк владеет более 10, но менее 50 процентами акций либо эквивалент такого участия и над которыми банк может иметь значительную степень влияния, но не осуществляет контроль. К ассоциированным предприятиям также относятся предприятия-нерезиденты, в которых банк и его дочерние предприятия совместно владеют, более 10, но менее 50 процентами акций, дающих право голоса.</w:t>
      </w:r>
    </w:p>
    <w:p>
      <w:pPr>
        <w:spacing w:after="120"/>
        <w:jc w:val="both"/>
      </w:pPr>
      <w:r>
        <w:rPr>
          <w:rFonts w:ascii="Arial" w:cs="Arial" w:eastAsia="Arial" w:hAnsi="Arial"/>
          <w:sz w:val="24"/>
          <w:szCs w:val="24"/>
        </w:rPr>
        <w:t xml:space="preserve">11) Прочие иностранные предприятия - это иностранные предприятия, в доле которых инвестор (данном случае банк) владеет менее 10 процентами акций или другим эквивалентом такого участия.</w:t>
      </w:r>
    </w:p>
    <w:p>
      <w:pPr>
        <w:spacing w:after="120"/>
        <w:jc w:val="both"/>
      </w:pPr>
      <w:r>
        <w:rPr>
          <w:rFonts w:ascii="Arial" w:cs="Arial" w:eastAsia="Arial" w:hAnsi="Arial"/>
          <w:sz w:val="24"/>
          <w:szCs w:val="24"/>
        </w:rPr>
        <w:t xml:space="preserve">12) Сестринские предприятия - это предприятия которые находятся под контролем или влиянием одного и того же непосредственного или косвенного инвестора, но не имеют никакого контроля или влияния друг на друга, т.е. это структуры, имеющие одного общего прямого инвестора.</w:t>
      </w:r>
    </w:p>
    <w:p>
      <w:pPr>
        <w:spacing w:after="120"/>
        <w:jc w:val="both"/>
      </w:pPr>
      <w:r>
        <w:rPr>
          <w:rFonts w:ascii="Arial" w:cs="Arial" w:eastAsia="Arial" w:hAnsi="Arial"/>
          <w:sz w:val="24"/>
          <w:szCs w:val="24"/>
        </w:rPr>
        <w:t xml:space="preserve">13) Конечная контролирующая материнская компания - первое предприятие в цепи отношений прямого инвестирования являющаяся конечным инвестором, которая осуществляет контроль над принятием инвестиционного решения предприятий прямого инвестирования. Это определяется путем следования вверх от непосредственного прямого инвестора по цепочке отношений собственности, где каждое звено определяет контроль над последующим звеном.</w:t>
      </w:r>
    </w:p>
    <w:p>
      <w:pPr>
        <w:spacing w:after="120"/>
        <w:jc w:val="both"/>
      </w:pPr>
      <w:r>
        <w:rPr>
          <w:rFonts w:ascii="Arial" w:cs="Arial" w:eastAsia="Arial" w:hAnsi="Arial"/>
          <w:sz w:val="24"/>
          <w:szCs w:val="24"/>
        </w:rPr>
        <w:t xml:space="preserve">14) Прочие инструменты участия в капитале - это инструменты участия в капитале не имеющих формы ценных бумаг (отделения, товарищества с ограниченной ответственностью и т.д.).</w:t>
      </w:r>
    </w:p>
    <w:p>
      <w:pPr>
        <w:spacing w:after="120"/>
        <w:jc w:val="both"/>
      </w:pPr>
      <w:r>
        <w:rPr>
          <w:rFonts w:ascii="Arial" w:cs="Arial" w:eastAsia="Arial" w:hAnsi="Arial"/>
          <w:sz w:val="24"/>
          <w:szCs w:val="24"/>
        </w:rPr>
        <w:t xml:space="preserve">15) Обратные операции - это договоренности, предусматривающие изменение правовой собственности на ценные бумаги или золото и включающие обязательства об обратной покупке тех же или аналогичных ценных бумаг или золота либо на установленную дату, либо через неопределенный срок. Они включают в себя соглашения об обратной покупке ценных бумаг, золотые свопы, предоставление ценных бумаг в долг и ссуды в золоте.</w:t>
      </w:r>
    </w:p>
    <w:p>
      <w:pPr>
        <w:spacing w:after="120"/>
        <w:jc w:val="both"/>
      </w:pPr>
      <w:r>
        <w:rPr>
          <w:rFonts w:ascii="Arial" w:cs="Arial" w:eastAsia="Arial" w:hAnsi="Arial"/>
          <w:sz w:val="24"/>
          <w:szCs w:val="24"/>
        </w:rPr>
        <w:t xml:space="preserve">16) Нейтральные операции - это операции, содержание которых заключается в перемещении средств между корреспондентскими счетами иностранных банков, открытыми в одном банке-резиденте, или между корреспондентскими счетами иностранных банков в различных банках-нерезидентов, а также перемещение средств между корреспондентскими счетами банков-нерезидентов за рубежом рассматриваются как нейтральные операции для платежного баланса. Как нейтральные отражаются операции:</w:t>
      </w:r>
    </w:p>
    <w:p>
      <w:pPr>
        <w:spacing w:after="120"/>
        <w:jc w:val="both"/>
      </w:pPr>
      <w:r>
        <w:rPr>
          <w:rFonts w:ascii="Arial" w:cs="Arial" w:eastAsia="Arial" w:hAnsi="Arial"/>
          <w:sz w:val="24"/>
          <w:szCs w:val="24"/>
        </w:rPr>
        <w:t xml:space="preserve">- обмена одной безналичной иностранной валюты на другую безналичную иностранную валюту (купля/продажа валют);</w:t>
      </w:r>
    </w:p>
    <w:p>
      <w:pPr>
        <w:spacing w:after="120"/>
        <w:jc w:val="both"/>
      </w:pPr>
      <w:r>
        <w:rPr>
          <w:rFonts w:ascii="Arial" w:cs="Arial" w:eastAsia="Arial" w:hAnsi="Arial"/>
          <w:sz w:val="24"/>
          <w:szCs w:val="24"/>
        </w:rPr>
        <w:t xml:space="preserve">- операции перевода валюты из безналичной формы в ту же валюту в наличной форме или наоборот (обналичивание валют);</w:t>
      </w:r>
    </w:p>
    <w:p>
      <w:pPr>
        <w:spacing w:after="120"/>
        <w:jc w:val="both"/>
      </w:pPr>
      <w:r>
        <w:rPr>
          <w:rFonts w:ascii="Arial" w:cs="Arial" w:eastAsia="Arial" w:hAnsi="Arial"/>
          <w:sz w:val="24"/>
          <w:szCs w:val="24"/>
        </w:rPr>
        <w:t xml:space="preserve">- перемещение денежных средств с одного корреспондентского счета на другой корреспондентский счет (пополнение корреспондентского счета);</w:t>
      </w:r>
    </w:p>
    <w:p>
      <w:pPr>
        <w:spacing w:after="120"/>
        <w:jc w:val="both"/>
      </w:pPr>
      <w:r>
        <w:rPr>
          <w:rFonts w:ascii="Arial" w:cs="Arial" w:eastAsia="Arial" w:hAnsi="Arial"/>
          <w:sz w:val="24"/>
          <w:szCs w:val="24"/>
        </w:rPr>
        <w:t xml:space="preserve">- поступление (списание) на корреспондентский счет одного банка денежных средств в пользу другого банка (посреднические операции).</w:t>
      </w:r>
    </w:p>
    <w:p>
      <w:pPr>
        <w:spacing w:after="120"/>
        <w:jc w:val="both"/>
      </w:pPr>
      <w:r>
        <w:rPr>
          <w:rFonts w:ascii="Arial" w:cs="Arial" w:eastAsia="Arial" w:hAnsi="Arial"/>
          <w:sz w:val="24"/>
          <w:szCs w:val="24"/>
        </w:rPr>
        <w:t xml:space="preserve">Глава 3. Порядок и сроки представления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Персональную ответственность за полноту содержания, сроки представления и правильность заполнения отчета, несет непосредственно руководитель банка. Кроме этого в каждом банке должно быть назначено лицо, ответственное за взаимодействие со структурным подразделением Национального банка по всем вопросам, касающимся представления отчета.</w:t>
      </w:r>
    </w:p>
    <w:p>
      <w:pPr>
        <w:spacing w:after="120"/>
        <w:jc w:val="both"/>
      </w:pPr>
      <w:r>
        <w:rPr>
          <w:rFonts w:ascii="Arial" w:cs="Arial" w:eastAsia="Arial" w:hAnsi="Arial"/>
          <w:sz w:val="24"/>
          <w:szCs w:val="24"/>
        </w:rPr>
        <w:t xml:space="preserve">5. Отчет представляется в электронной форме (причем электронная форма должна сопровождаться электронно-цифровой подписью и иметь стандартное название, например pb1430113, где первые три цифры обозначают код банка, четвертая и пятая цифры обозначают признак квартала, а последующие две цифры указывают на признак отчетного года). Банк, в случае непредставления, несвоевременного предоставления отчета, либо предоставления отчета, содержащего заведомо ложные сведения, несет ответственность в соответствии с законодательством Кыргызской Республики и нормативными актами Национального банка.</w:t>
      </w:r>
    </w:p>
    <w:p>
      <w:pPr>
        <w:spacing w:after="120"/>
        <w:jc w:val="both"/>
      </w:pPr>
      <w:r>
        <w:rPr>
          <w:rFonts w:ascii="Arial" w:cs="Arial" w:eastAsia="Arial" w:hAnsi="Arial"/>
          <w:sz w:val="24"/>
          <w:szCs w:val="24"/>
        </w:rPr>
        <w:t xml:space="preserve">6. Отчет представляется в Национальный банк ежеквартально в течение 20 календарных дней со дня окончания отчетного квартала. В случае выявления сотрудниками Национального банка ошибок в представленной отчетности, банки обязаны откорректировать ошибки и направить в Национальный банк исправленную отчетность в течение трех рабочих дней после уведомления о наличии ошибок.</w:t>
      </w:r>
    </w:p>
    <w:p>
      <w:pPr>
        <w:spacing w:after="120"/>
        <w:jc w:val="both"/>
      </w:pPr>
      <w:r>
        <w:rPr>
          <w:rFonts w:ascii="Arial" w:cs="Arial" w:eastAsia="Arial" w:hAnsi="Arial"/>
          <w:sz w:val="24"/>
          <w:szCs w:val="24"/>
        </w:rPr>
        <w:t xml:space="preserve">Глава 4. Содержание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Отчет, представляемый банком, должен содержать:</w:t>
      </w:r>
    </w:p>
    <w:p>
      <w:pPr>
        <w:spacing w:after="120"/>
        <w:jc w:val="both"/>
      </w:pPr>
      <w:r>
        <w:rPr>
          <w:rFonts w:ascii="Arial" w:cs="Arial" w:eastAsia="Arial" w:hAnsi="Arial"/>
          <w:sz w:val="24"/>
          <w:szCs w:val="24"/>
        </w:rPr>
        <w:t xml:space="preserve">1) раздел I "Информация о капитале банка". Данный раздел заполняется только банками с участием иностранного капитала. Данные необходимо показывать в номинале валют, с точностью до двух знаков после запятой. Данные по этому разделу показываются по состоянию на начало отчетного периода, на конец отчетного периода, а также показывается движение средств и прочие изменения в течение отчетного периода. Прочие изменения отражают переоценку вследствие изменения денежной стоимости финансового актива или обязательства по причине изменений в уровне или структуре цены (увеличение актива отражать со знаком "+", уменьшение актива со знаком "-"). Данные по иностранным инвесторам-нерезидентам следует показывать отдельно по каждой стране, причем необходимо заполнять только ячейки, расположенные ниже основной;</w:t>
      </w:r>
    </w:p>
    <w:p>
      <w:pPr>
        <w:spacing w:after="120"/>
        <w:jc w:val="both"/>
      </w:pPr>
      <w:r>
        <w:rPr>
          <w:rFonts w:ascii="Arial" w:cs="Arial" w:eastAsia="Arial" w:hAnsi="Arial"/>
          <w:sz w:val="24"/>
          <w:szCs w:val="24"/>
        </w:rPr>
        <w:t xml:space="preserve">2) раздел II "Распределение дивидендов акционерам банка". Данный раздел заполняется только банками с участием иностранного капитала. Данные необходимо показывать в номинале валют, с точностью до двух знаков после запятой. Данные по иностранным инвесторам-нерезидентам следует показывать отдельно по каждой стране инвестора-нерезидента, причем необходимо заполнять только ячейки, расположенные ниже основной;</w:t>
      </w:r>
    </w:p>
    <w:p>
      <w:pPr>
        <w:spacing w:after="120"/>
        <w:jc w:val="both"/>
      </w:pPr>
      <w:r>
        <w:rPr>
          <w:rFonts w:ascii="Arial" w:cs="Arial" w:eastAsia="Arial" w:hAnsi="Arial"/>
          <w:sz w:val="24"/>
          <w:szCs w:val="24"/>
        </w:rPr>
        <w:t xml:space="preserve">3) раздел III "Информация об участии банка в капитале иностранного предприятия". Данный раздел заполняется только банками имеющими долю в капитале иностранного предприятия. Данные необходимо показывать в номинале валют, с точностью до двух знаков после запятой. Данные указываются по состоянию на начало отчетного периода, на конец отчетного периода, а также показывается движение средств и прочие изменения в течение отчетного периода. Прочие изменения отражают переоценку вследствие изменения денежной стоимости финансового актива по причине изменений в уровне или структуре цены (увеличение актива отражать со знаком "+", уменьшение актива со знаком "-"). Данные по иностранным предприятиям инвестирования следует показывать отдельно по каждой стране предприятия-нерезидента, по наименованию предприятия, с указанием доли участия в капитале в процентах заполнять только ячейки, расположенные ниже основной;</w:t>
      </w:r>
    </w:p>
    <w:p>
      <w:pPr>
        <w:spacing w:after="120"/>
        <w:jc w:val="both"/>
      </w:pPr>
      <w:r>
        <w:rPr>
          <w:rFonts w:ascii="Arial" w:cs="Arial" w:eastAsia="Arial" w:hAnsi="Arial"/>
          <w:sz w:val="24"/>
          <w:szCs w:val="24"/>
        </w:rPr>
        <w:t xml:space="preserve">4) раздел IV "Распределенные дивиденды предприятий-нерезидентов". Данный раздел заполняется только банками имеющими долю в капитале иностранного предприятия. Данные необходимо показывать в номинале валют, с точностью до двух знаков после запятой. Данные по иностранным - предприятиям инвестирования следует показывать отдельно по каждой стране предприятия-нерезидента, по наименованию предприятия, с указанием доли участия в капитале, причем необходимо заполнять только ячейки, расположенные ниже основной;</w:t>
      </w:r>
    </w:p>
    <w:p>
      <w:pPr>
        <w:spacing w:after="120"/>
        <w:jc w:val="both"/>
      </w:pPr>
      <w:r>
        <w:rPr>
          <w:rFonts w:ascii="Arial" w:cs="Arial" w:eastAsia="Arial" w:hAnsi="Arial"/>
          <w:sz w:val="24"/>
          <w:szCs w:val="24"/>
        </w:rPr>
        <w:t xml:space="preserve">5) раздел V "Движение иностранных активов банка". Данные необходимо показывать в единицах валют, с точностью до двух знаков после запятой. Данные следует показывать на начало и конец отчетного периода, а также по движению средств и прочие изменения в течение отчетного периода. Прочие изменения отражают переоценку вследствие изменения денежной стоимости финансового актива по причине изменений в уровне или структуре цены, либо возврат ошибочно перечисленных сумм (увеличение актива отражать со знаком "+", уменьшение актива со знаком "-"). Данные следует показывать отдельно по каждой стране, по наименованию партнера и в разрезе валют, в которых проводились операции (кроме Кыргызской Республики), причем необходимо заполнять только ячейки, расположенные ниже основной;</w:t>
      </w:r>
    </w:p>
    <w:p>
      <w:pPr>
        <w:spacing w:after="120"/>
        <w:jc w:val="both"/>
      </w:pPr>
      <w:r>
        <w:rPr>
          <w:rFonts w:ascii="Arial" w:cs="Arial" w:eastAsia="Arial" w:hAnsi="Arial"/>
          <w:sz w:val="24"/>
          <w:szCs w:val="24"/>
        </w:rPr>
        <w:t xml:space="preserve">6) раздел VI "Доходы, полученные по зарубежным активам". Данные необходимо показывать в номинале валют, с точностью до двух знаков после запятой. Следует показывать доходы начисленные, но не полученные на начало и конец отчетного периода, включая начисленные и фактически полученные средства в течение отчетного периода. Прочие изменения отражают изменения в начисленных и полученных доходах за счет частичного или полного списания/изъятия актива. Данные следует показывать отдельно по каждой стране, наименованию партнера и в разрезе валют, в которых проводились операции (кроме Кыргызской Республики), причем необходимо заполнять только ячейки расположенные ниже основной;</w:t>
      </w:r>
    </w:p>
    <w:p>
      <w:pPr>
        <w:spacing w:after="120"/>
        <w:jc w:val="both"/>
      </w:pPr>
      <w:r>
        <w:rPr>
          <w:rFonts w:ascii="Arial" w:cs="Arial" w:eastAsia="Arial" w:hAnsi="Arial"/>
          <w:sz w:val="24"/>
          <w:szCs w:val="24"/>
        </w:rPr>
        <w:t xml:space="preserve">7) раздел VII "Движение иностранных обязательств банка". Данные необходимо показывать в номинале валют, с точностью до двух знаков после запятой. Данные следует показывать на начало и конец отчетного периода, а также по движению средств и прочие изменения в течение отчетного периода. Прочие изменения отражают переоценку вследствие изменения денежной стоимости финансового обязательства по причине изменений в уровне или структуре цены, либо возврат ошибочно перечисленных сумм (увеличение обязательств отражать со знаком "+", уменьшение актива со знаком "-"). Данные следует показывать отдельно по каждой стране, наименованию партнера и в разрезе валют, в которых проводились операции (кроме Кыргызской Республики), причем необходимо заполнять только ячейки, расположенные ниже основной;</w:t>
      </w:r>
    </w:p>
    <w:p>
      <w:pPr>
        <w:spacing w:after="120"/>
        <w:jc w:val="both"/>
      </w:pPr>
      <w:r>
        <w:rPr>
          <w:rFonts w:ascii="Arial" w:cs="Arial" w:eastAsia="Arial" w:hAnsi="Arial"/>
          <w:sz w:val="24"/>
          <w:szCs w:val="24"/>
        </w:rPr>
        <w:t xml:space="preserve">8) раздел VIII "Расходы по иностранным обязательствам банка". Данные необходимо показывать в единицах валют, с точностью до двух знаков после запятой. Следует показывать расходы начисленные, но не выплаченные на начало и конец отчетного периода, включая начисленные и выплаченные средства в течение отчетного периода. Прочие изменения отражают изменения в начисленных и выплаченных доходах за счет частичного или полного списания/изъятия обязательства. Данные следует показывать отдельно по каждой стране, наименованию партнера и в разрезе валют, в которых проводились операции (кроме Кыргызской Республики), причем необходимо заполнять только ячейки, расположенные ниже основной.</w:t>
      </w:r>
    </w:p>
    <w:p>
      <w:pPr>
        <w:spacing w:after="120"/>
        <w:jc w:val="both"/>
      </w:pPr>
      <w:r>
        <w:rPr>
          <w:rFonts w:ascii="Arial" w:cs="Arial" w:eastAsia="Arial" w:hAnsi="Arial"/>
          <w:sz w:val="24"/>
          <w:szCs w:val="24"/>
        </w:rPr>
        <w:t xml:space="preserve">Глава 5. Порядок заполнения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 заголовке отчета указывается:</w:t>
      </w:r>
    </w:p>
    <w:p>
      <w:pPr>
        <w:spacing w:after="120"/>
        <w:jc w:val="both"/>
      </w:pPr>
      <w:r>
        <w:rPr>
          <w:rFonts w:ascii="Arial" w:cs="Arial" w:eastAsia="Arial" w:hAnsi="Arial"/>
          <w:sz w:val="24"/>
          <w:szCs w:val="24"/>
        </w:rPr>
        <w:t xml:space="preserve">- полное наименование банка, представляющего отчет;</w:t>
      </w:r>
    </w:p>
    <w:p>
      <w:pPr>
        <w:spacing w:after="120"/>
        <w:jc w:val="both"/>
      </w:pPr>
      <w:r>
        <w:rPr>
          <w:rFonts w:ascii="Arial" w:cs="Arial" w:eastAsia="Arial" w:hAnsi="Arial"/>
          <w:sz w:val="24"/>
          <w:szCs w:val="24"/>
        </w:rPr>
        <w:t xml:space="preserve">- период, за который подготовлен отчет (например, за 1 квартал 2013 года).</w:t>
      </w:r>
    </w:p>
    <w:p>
      <w:pPr>
        <w:spacing w:after="120"/>
        <w:jc w:val="both"/>
      </w:pPr>
      <w:r>
        <w:rPr>
          <w:rFonts w:ascii="Arial" w:cs="Arial" w:eastAsia="Arial" w:hAnsi="Arial"/>
          <w:sz w:val="24"/>
          <w:szCs w:val="24"/>
        </w:rPr>
        <w:t xml:space="preserve">9. Порядок заполнения Раздела I (Информация о капитале банка):</w:t>
      </w:r>
    </w:p>
    <w:p>
      <w:pPr>
        <w:spacing w:after="120"/>
        <w:jc w:val="both"/>
      </w:pPr>
      <w:r>
        <w:rPr>
          <w:rFonts w:ascii="Arial" w:cs="Arial" w:eastAsia="Arial" w:hAnsi="Arial"/>
          <w:sz w:val="24"/>
          <w:szCs w:val="24"/>
        </w:rPr>
        <w:t xml:space="preserve">1) В строке 1.1. следует отражать весь капитал банка. Он должен составлять сумму проданных акций банка (строка 1.1.1), капитала, внесенного сверх номинала (строка 1.1.2), резервов (строка 1.1.3), нераспределенной прибыли (строка 1.1.4) и дополнительного капитала, внесенного акционерами (строка 1.1.5).</w:t>
      </w:r>
    </w:p>
    <w:p>
      <w:pPr>
        <w:spacing w:after="120"/>
        <w:jc w:val="both"/>
      </w:pPr>
      <w:r>
        <w:rPr>
          <w:rFonts w:ascii="Arial" w:cs="Arial" w:eastAsia="Arial" w:hAnsi="Arial"/>
          <w:sz w:val="24"/>
          <w:szCs w:val="24"/>
        </w:rPr>
        <w:t xml:space="preserve">2) В строках 1.1.1.-1.1.1.5. следует отражать общую стоимость выпущенных и проданных простых и привилегированных акций банка. Учет ведется по номинальной стоимости акций. В случае, если акции были проданы выше номинальной стоимости, разница между рыночной и номинальной стоимостью акций учитывается в строках 1.1.2.-1.1.2.5. Отдельно следует показать:</w:t>
      </w:r>
    </w:p>
    <w:p>
      <w:pPr>
        <w:spacing w:after="120"/>
        <w:jc w:val="both"/>
      </w:pPr>
      <w:r>
        <w:rPr>
          <w:rFonts w:ascii="Arial" w:cs="Arial" w:eastAsia="Arial" w:hAnsi="Arial"/>
          <w:sz w:val="24"/>
          <w:szCs w:val="24"/>
        </w:rPr>
        <w:t xml:space="preserve">в строке 1.1.1.1 стоимость акции проданных резидентам Кыргызской Республики. Отдельно следует указать привилегированные акции;</w:t>
      </w:r>
    </w:p>
    <w:p>
      <w:pPr>
        <w:spacing w:after="120"/>
        <w:jc w:val="both"/>
      </w:pPr>
      <w:r>
        <w:rPr>
          <w:rFonts w:ascii="Arial" w:cs="Arial" w:eastAsia="Arial" w:hAnsi="Arial"/>
          <w:sz w:val="24"/>
          <w:szCs w:val="24"/>
        </w:rPr>
        <w:t xml:space="preserve">в строке 1.1.1.2 стоимость акции проданных прямым иностранным инвесторам-нерезидентам из них отдельно показать привилегированные акции (строка 1.1.1.2.а);</w:t>
      </w:r>
    </w:p>
    <w:p>
      <w:pPr>
        <w:spacing w:after="120"/>
        <w:jc w:val="both"/>
      </w:pPr>
      <w:r>
        <w:rPr>
          <w:rFonts w:ascii="Arial" w:cs="Arial" w:eastAsia="Arial" w:hAnsi="Arial"/>
          <w:sz w:val="24"/>
          <w:szCs w:val="24"/>
        </w:rPr>
        <w:t xml:space="preserve">в строке 1.1.1.3 стоимость акций проданных другим иностранным инвесторам-нерезидентам;</w:t>
      </w:r>
    </w:p>
    <w:p>
      <w:pPr>
        <w:spacing w:after="120"/>
        <w:jc w:val="both"/>
      </w:pPr>
      <w:r>
        <w:rPr>
          <w:rFonts w:ascii="Arial" w:cs="Arial" w:eastAsia="Arial" w:hAnsi="Arial"/>
          <w:sz w:val="24"/>
          <w:szCs w:val="24"/>
        </w:rPr>
        <w:t xml:space="preserve">в строке 1.1.1.4 стоимость акций проданных предприятиям прямого инвестирования;</w:t>
      </w:r>
    </w:p>
    <w:p>
      <w:pPr>
        <w:spacing w:after="120"/>
        <w:jc w:val="both"/>
      </w:pPr>
      <w:r>
        <w:rPr>
          <w:rFonts w:ascii="Arial" w:cs="Arial" w:eastAsia="Arial" w:hAnsi="Arial"/>
          <w:sz w:val="24"/>
          <w:szCs w:val="24"/>
        </w:rPr>
        <w:t xml:space="preserve">в строке 1.1.1.5 стоимость акций проданных сестринским предприятиям.</w:t>
      </w:r>
    </w:p>
    <w:p>
      <w:pPr>
        <w:spacing w:after="120"/>
        <w:jc w:val="both"/>
      </w:pPr>
      <w:r>
        <w:rPr>
          <w:rFonts w:ascii="Arial" w:cs="Arial" w:eastAsia="Arial" w:hAnsi="Arial"/>
          <w:sz w:val="24"/>
          <w:szCs w:val="24"/>
        </w:rPr>
        <w:t xml:space="preserve">3) В строках 1.1.2.-1.1.2.5. следует отражать инвестиции сверх номинальной стоимости простых и привилегированных акций банка, то есть разницу между рыночной и номинальной стоимостью акций банка. Разница возникает при новом выпуске (эмиссии) акций, если акции реализуются по цене, превышающей номинал. Отдельно следует привести данные:</w:t>
      </w:r>
    </w:p>
    <w:p>
      <w:pPr>
        <w:spacing w:after="120"/>
        <w:jc w:val="both"/>
      </w:pPr>
      <w:r>
        <w:rPr>
          <w:rFonts w:ascii="Arial" w:cs="Arial" w:eastAsia="Arial" w:hAnsi="Arial"/>
          <w:sz w:val="24"/>
          <w:szCs w:val="24"/>
        </w:rPr>
        <w:t xml:space="preserve">в строке 1.1.2.1. - по резидентам;</w:t>
      </w:r>
    </w:p>
    <w:p>
      <w:pPr>
        <w:spacing w:after="120"/>
        <w:jc w:val="both"/>
      </w:pPr>
      <w:r>
        <w:rPr>
          <w:rFonts w:ascii="Arial" w:cs="Arial" w:eastAsia="Arial" w:hAnsi="Arial"/>
          <w:sz w:val="24"/>
          <w:szCs w:val="24"/>
        </w:rPr>
        <w:t xml:space="preserve">в строке 1.1.2.2. - по прямым иностранным инвесторам-нерезидентам;</w:t>
      </w:r>
    </w:p>
    <w:p>
      <w:pPr>
        <w:spacing w:after="120"/>
        <w:jc w:val="both"/>
      </w:pPr>
      <w:r>
        <w:rPr>
          <w:rFonts w:ascii="Arial" w:cs="Arial" w:eastAsia="Arial" w:hAnsi="Arial"/>
          <w:sz w:val="24"/>
          <w:szCs w:val="24"/>
        </w:rPr>
        <w:t xml:space="preserve">в строке 1.1.2.3. - по другим иностранным инвесторам-нерезидентам;</w:t>
      </w:r>
    </w:p>
    <w:p>
      <w:pPr>
        <w:spacing w:after="120"/>
        <w:jc w:val="both"/>
      </w:pPr>
      <w:r>
        <w:rPr>
          <w:rFonts w:ascii="Arial" w:cs="Arial" w:eastAsia="Arial" w:hAnsi="Arial"/>
          <w:sz w:val="24"/>
          <w:szCs w:val="24"/>
        </w:rPr>
        <w:t xml:space="preserve">в строке 1.1.2.4. - по предприятиям прямого инвестирования;</w:t>
      </w:r>
    </w:p>
    <w:p>
      <w:pPr>
        <w:spacing w:after="120"/>
        <w:jc w:val="both"/>
      </w:pPr>
      <w:r>
        <w:rPr>
          <w:rFonts w:ascii="Arial" w:cs="Arial" w:eastAsia="Arial" w:hAnsi="Arial"/>
          <w:sz w:val="24"/>
          <w:szCs w:val="24"/>
        </w:rPr>
        <w:t xml:space="preserve">в строке 1.1.2.5. - по сестринским предприятиям.</w:t>
      </w:r>
    </w:p>
    <w:p>
      <w:pPr>
        <w:spacing w:after="120"/>
        <w:jc w:val="both"/>
      </w:pPr>
      <w:r>
        <w:rPr>
          <w:rFonts w:ascii="Arial" w:cs="Arial" w:eastAsia="Arial" w:hAnsi="Arial"/>
          <w:sz w:val="24"/>
          <w:szCs w:val="24"/>
        </w:rPr>
        <w:t xml:space="preserve">4) В строке 1.1.3. следует отражать все резервы, которые банк обязан держать в соответствии с банковским законодательством: резервы для будущих потребностей банка, резервы по переоценке основных средств, резервы по пересчету иностранной валюты при консолидации и резервы по переоценке инвестиционных ценных бумаг.</w:t>
      </w:r>
    </w:p>
    <w:p>
      <w:pPr>
        <w:spacing w:after="120"/>
        <w:jc w:val="both"/>
      </w:pPr>
      <w:r>
        <w:rPr>
          <w:rFonts w:ascii="Arial" w:cs="Arial" w:eastAsia="Arial" w:hAnsi="Arial"/>
          <w:sz w:val="24"/>
          <w:szCs w:val="24"/>
        </w:rPr>
        <w:t xml:space="preserve">5) В строке 1.1.4. следует отражать нераспределенную прибыль банка предыдущих лет и текущего года. Здесь указывается накопленный чистый доход (убыток), который остался после распределения акционерам и после перевода части средств в резерв. Нераспределенная прибыль состоит из остатка чистой прибыли (убытков) предыдущих лет, а также прибыли (убытка) текущего года на отчетную дату. Если на отчетную дату у банка убытки, то значение данного пункта указывается со знаком "минус", если прибыль, то со знаком "плюс".</w:t>
      </w:r>
    </w:p>
    <w:p>
      <w:pPr>
        <w:spacing w:after="120"/>
        <w:jc w:val="both"/>
      </w:pPr>
      <w:r>
        <w:rPr>
          <w:rFonts w:ascii="Arial" w:cs="Arial" w:eastAsia="Arial" w:hAnsi="Arial"/>
          <w:sz w:val="24"/>
          <w:szCs w:val="24"/>
        </w:rPr>
        <w:t xml:space="preserve">6) В строках 1.1.5.-1.1.5.5. следует отражать дополнительный капитал, внесенный акционерами банка сверх оплаченного уставного капитала, в случае невыполнения банком требований Национального банка по минимальному размеру уставного капитала и/или экономических нормативов по определению стандарта адекватности капитала, с условием, что у банка нет обязательств по их возврату и что данные средства предоставляются на бессрочной основе. Отдельно следует отражать данные:</w:t>
      </w:r>
    </w:p>
    <w:p>
      <w:pPr>
        <w:spacing w:after="120"/>
        <w:jc w:val="both"/>
      </w:pPr>
      <w:r>
        <w:rPr>
          <w:rFonts w:ascii="Arial" w:cs="Arial" w:eastAsia="Arial" w:hAnsi="Arial"/>
          <w:sz w:val="24"/>
          <w:szCs w:val="24"/>
        </w:rPr>
        <w:t xml:space="preserve">в строке 1.1.5.1. - по резидентам;</w:t>
      </w:r>
    </w:p>
    <w:p>
      <w:pPr>
        <w:spacing w:after="120"/>
        <w:jc w:val="both"/>
      </w:pPr>
      <w:r>
        <w:rPr>
          <w:rFonts w:ascii="Arial" w:cs="Arial" w:eastAsia="Arial" w:hAnsi="Arial"/>
          <w:sz w:val="24"/>
          <w:szCs w:val="24"/>
        </w:rPr>
        <w:t xml:space="preserve">в строке 1.1.5.2. - по прямым иностранным инвесторам-нерезидентам (строка 1.1.5.2);</w:t>
      </w:r>
    </w:p>
    <w:p>
      <w:pPr>
        <w:spacing w:after="120"/>
        <w:jc w:val="both"/>
      </w:pPr>
      <w:r>
        <w:rPr>
          <w:rFonts w:ascii="Arial" w:cs="Arial" w:eastAsia="Arial" w:hAnsi="Arial"/>
          <w:sz w:val="24"/>
          <w:szCs w:val="24"/>
        </w:rPr>
        <w:t xml:space="preserve">в строке 1.1.5.3. - по другим иностранным инвесторам-нерезидентам;</w:t>
      </w:r>
    </w:p>
    <w:p>
      <w:pPr>
        <w:spacing w:after="120"/>
        <w:jc w:val="both"/>
      </w:pPr>
      <w:r>
        <w:rPr>
          <w:rFonts w:ascii="Arial" w:cs="Arial" w:eastAsia="Arial" w:hAnsi="Arial"/>
          <w:sz w:val="24"/>
          <w:szCs w:val="24"/>
        </w:rPr>
        <w:t xml:space="preserve">в строке 1.1.5.4. - по предприятиям прямого инвестирования;</w:t>
      </w:r>
    </w:p>
    <w:p>
      <w:pPr>
        <w:spacing w:after="120"/>
        <w:jc w:val="both"/>
      </w:pPr>
      <w:r>
        <w:rPr>
          <w:rFonts w:ascii="Arial" w:cs="Arial" w:eastAsia="Arial" w:hAnsi="Arial"/>
          <w:sz w:val="24"/>
          <w:szCs w:val="24"/>
        </w:rPr>
        <w:t xml:space="preserve">в строке 1.1.5.5. - по сестринским предприятиям.</w:t>
      </w:r>
    </w:p>
    <w:p>
      <w:pPr>
        <w:spacing w:after="120"/>
        <w:jc w:val="both"/>
      </w:pPr>
      <w:r>
        <w:rPr>
          <w:rFonts w:ascii="Arial" w:cs="Arial" w:eastAsia="Arial" w:hAnsi="Arial"/>
          <w:sz w:val="24"/>
          <w:szCs w:val="24"/>
        </w:rPr>
        <w:t xml:space="preserve">10. Порядок заполнения Раздела II (Распределение дивидендов акционерам банка):</w:t>
      </w:r>
    </w:p>
    <w:p>
      <w:pPr>
        <w:spacing w:after="120"/>
        <w:jc w:val="both"/>
      </w:pPr>
      <w:r>
        <w:rPr>
          <w:rFonts w:ascii="Arial" w:cs="Arial" w:eastAsia="Arial" w:hAnsi="Arial"/>
          <w:sz w:val="24"/>
          <w:szCs w:val="24"/>
        </w:rPr>
        <w:t xml:space="preserve">В строках 2.1.-2.1.5. следует отражать дивиденды, распределенные акционерам банка по результатам года. Отдельно следует указать дивиденды:</w:t>
      </w:r>
    </w:p>
    <w:p>
      <w:pPr>
        <w:spacing w:after="120"/>
        <w:jc w:val="both"/>
      </w:pPr>
      <w:r>
        <w:rPr>
          <w:rFonts w:ascii="Arial" w:cs="Arial" w:eastAsia="Arial" w:hAnsi="Arial"/>
          <w:sz w:val="24"/>
          <w:szCs w:val="24"/>
        </w:rPr>
        <w:t xml:space="preserve">в строке 2.1.1. распределенные дивиденды резидентам Кыргызской Республики;</w:t>
      </w:r>
    </w:p>
    <w:p>
      <w:pPr>
        <w:spacing w:after="120"/>
        <w:jc w:val="both"/>
      </w:pPr>
      <w:r>
        <w:rPr>
          <w:rFonts w:ascii="Arial" w:cs="Arial" w:eastAsia="Arial" w:hAnsi="Arial"/>
          <w:sz w:val="24"/>
          <w:szCs w:val="24"/>
        </w:rPr>
        <w:t xml:space="preserve">в строке 2.1.2. прямым иностранным инвесторам-нерезидентам, отдельно выделить дивиденды по неучаствующим привилегированным акциям (строка 2.3.2.а);</w:t>
      </w:r>
    </w:p>
    <w:p>
      <w:pPr>
        <w:spacing w:after="120"/>
        <w:jc w:val="both"/>
      </w:pPr>
      <w:r>
        <w:rPr>
          <w:rFonts w:ascii="Arial" w:cs="Arial" w:eastAsia="Arial" w:hAnsi="Arial"/>
          <w:sz w:val="24"/>
          <w:szCs w:val="24"/>
        </w:rPr>
        <w:t xml:space="preserve">в строке 2.1.3. другим иностранным инвесторам-нерезидентам;</w:t>
      </w:r>
    </w:p>
    <w:p>
      <w:pPr>
        <w:spacing w:after="120"/>
        <w:jc w:val="both"/>
      </w:pPr>
      <w:r>
        <w:rPr>
          <w:rFonts w:ascii="Arial" w:cs="Arial" w:eastAsia="Arial" w:hAnsi="Arial"/>
          <w:sz w:val="24"/>
          <w:szCs w:val="24"/>
        </w:rPr>
        <w:t xml:space="preserve">в строке 2.1.4. предприятиям прямого инвестирования;</w:t>
      </w:r>
    </w:p>
    <w:p>
      <w:pPr>
        <w:spacing w:after="120"/>
        <w:jc w:val="both"/>
      </w:pPr>
      <w:r>
        <w:rPr>
          <w:rFonts w:ascii="Arial" w:cs="Arial" w:eastAsia="Arial" w:hAnsi="Arial"/>
          <w:sz w:val="24"/>
          <w:szCs w:val="24"/>
        </w:rPr>
        <w:t xml:space="preserve">в строке 2.1.5. сестринским предприятиям.</w:t>
      </w:r>
    </w:p>
    <w:p>
      <w:pPr>
        <w:spacing w:after="120"/>
        <w:jc w:val="both"/>
      </w:pPr>
      <w:r>
        <w:rPr>
          <w:rFonts w:ascii="Arial" w:cs="Arial" w:eastAsia="Arial" w:hAnsi="Arial"/>
          <w:sz w:val="24"/>
          <w:szCs w:val="24"/>
        </w:rPr>
        <w:t xml:space="preserve">11. Порядок заполнения Раздела III (Информация об участии банка в капитале иностранного предприятия):</w:t>
      </w:r>
    </w:p>
    <w:p>
      <w:pPr>
        <w:spacing w:after="120"/>
        <w:jc w:val="both"/>
      </w:pPr>
      <w:r>
        <w:rPr>
          <w:rFonts w:ascii="Arial" w:cs="Arial" w:eastAsia="Arial" w:hAnsi="Arial"/>
          <w:sz w:val="24"/>
          <w:szCs w:val="24"/>
        </w:rPr>
        <w:t xml:space="preserve">1) В строках 3.1.-3.1.4 следует отражать общую стоимость купленных и проданных простых и привилегированных акций предприятий иностранного инвестирования. Учет ведется по номинальной стоимости акций. В случае, если акции были проданы выше номинальной стоимости, разница между рыночной и номинальной стоимостью акций учитывается в строках 3.2.-3.2.4. Отдельно следует показать:</w:t>
      </w:r>
    </w:p>
    <w:p>
      <w:pPr>
        <w:spacing w:after="120"/>
        <w:jc w:val="both"/>
      </w:pPr>
      <w:r>
        <w:rPr>
          <w:rFonts w:ascii="Arial" w:cs="Arial" w:eastAsia="Arial" w:hAnsi="Arial"/>
          <w:sz w:val="24"/>
          <w:szCs w:val="24"/>
        </w:rPr>
        <w:t xml:space="preserve">в строке 3.1.1 стоимость акций предприятий прямого инвестирования. Отдельно следует указать привилегированные акции в строке 3.1.1.а.;</w:t>
      </w:r>
    </w:p>
    <w:p>
      <w:pPr>
        <w:spacing w:after="120"/>
        <w:jc w:val="both"/>
      </w:pPr>
      <w:r>
        <w:rPr>
          <w:rFonts w:ascii="Arial" w:cs="Arial" w:eastAsia="Arial" w:hAnsi="Arial"/>
          <w:sz w:val="24"/>
          <w:szCs w:val="24"/>
        </w:rPr>
        <w:t xml:space="preserve">в строке 3.1.2 стоимость акций прочих иностранных предприятий-нерезидентов;</w:t>
      </w:r>
    </w:p>
    <w:p>
      <w:pPr>
        <w:spacing w:after="120"/>
        <w:jc w:val="both"/>
      </w:pPr>
      <w:r>
        <w:rPr>
          <w:rFonts w:ascii="Arial" w:cs="Arial" w:eastAsia="Arial" w:hAnsi="Arial"/>
          <w:sz w:val="24"/>
          <w:szCs w:val="24"/>
        </w:rPr>
        <w:t xml:space="preserve">в строке 3.1.3 стоимость акций предприятий прямого инвестора (материнских компаний), в случае если доля участия составляет менее 10 процентов, иначе такие операции следует указывать в строке 3.1.1;</w:t>
      </w:r>
    </w:p>
    <w:p>
      <w:pPr>
        <w:spacing w:after="120"/>
        <w:jc w:val="both"/>
      </w:pPr>
      <w:r>
        <w:rPr>
          <w:rFonts w:ascii="Arial" w:cs="Arial" w:eastAsia="Arial" w:hAnsi="Arial"/>
          <w:sz w:val="24"/>
          <w:szCs w:val="24"/>
        </w:rPr>
        <w:t xml:space="preserve">в строке 3.1.4 стоимость акций сестринских предприятий, в случае если доля участия составляет менее 10 процентов, иначе такие операции следует указывать в строке 3.1.1.</w:t>
      </w:r>
    </w:p>
    <w:p>
      <w:pPr>
        <w:spacing w:after="120"/>
        <w:jc w:val="both"/>
      </w:pPr>
      <w:r>
        <w:rPr>
          <w:rFonts w:ascii="Arial" w:cs="Arial" w:eastAsia="Arial" w:hAnsi="Arial"/>
          <w:sz w:val="24"/>
          <w:szCs w:val="24"/>
        </w:rPr>
        <w:t xml:space="preserve">2) В строках 3.2.-3.2.4. следует отражать инвестиции сверх номинальной стоимости простых и привилегированных акций предприятий-нерезидентов, то есть разницу между рыночной и номинальной стоимостью акций предприятия. Разница возникает при новом выпуске (эмиссии) акций, если акции реализуются по цене, превышающей номинал. И любые другие вклады или убытки, возникающие по решению учредителей предприятия пропорционально их долям в уставном капитале предприятия-нерезидента. Отдельно следует привести данные:</w:t>
      </w:r>
    </w:p>
    <w:p>
      <w:pPr>
        <w:spacing w:after="120"/>
        <w:jc w:val="both"/>
      </w:pPr>
      <w:r>
        <w:rPr>
          <w:rFonts w:ascii="Arial" w:cs="Arial" w:eastAsia="Arial" w:hAnsi="Arial"/>
          <w:sz w:val="24"/>
          <w:szCs w:val="24"/>
        </w:rPr>
        <w:t xml:space="preserve">в строке 3.2.1 по предприятиям прямого инвестирования, отдельно следует указать привилегированные акции в строке 3.2.1.а;</w:t>
      </w:r>
    </w:p>
    <w:p>
      <w:pPr>
        <w:spacing w:after="120"/>
        <w:jc w:val="both"/>
      </w:pPr>
      <w:r>
        <w:rPr>
          <w:rFonts w:ascii="Arial" w:cs="Arial" w:eastAsia="Arial" w:hAnsi="Arial"/>
          <w:sz w:val="24"/>
          <w:szCs w:val="24"/>
        </w:rPr>
        <w:t xml:space="preserve">в строке 3.2.2 по прочим иностранным предприятий-нерезидентов;</w:t>
      </w:r>
    </w:p>
    <w:p>
      <w:pPr>
        <w:spacing w:after="120"/>
        <w:jc w:val="both"/>
      </w:pPr>
      <w:r>
        <w:rPr>
          <w:rFonts w:ascii="Arial" w:cs="Arial" w:eastAsia="Arial" w:hAnsi="Arial"/>
          <w:sz w:val="24"/>
          <w:szCs w:val="24"/>
        </w:rPr>
        <w:t xml:space="preserve">в строке 3.2.3 по предприятиям прямых инвесторов (материнских компаний), в случае если доля участия составляет менее 10 процентов, иначе такие операции следует указывать в строке 3.2.1;</w:t>
      </w:r>
    </w:p>
    <w:p>
      <w:pPr>
        <w:spacing w:after="120"/>
        <w:jc w:val="both"/>
      </w:pPr>
      <w:r>
        <w:rPr>
          <w:rFonts w:ascii="Arial" w:cs="Arial" w:eastAsia="Arial" w:hAnsi="Arial"/>
          <w:sz w:val="24"/>
          <w:szCs w:val="24"/>
        </w:rPr>
        <w:t xml:space="preserve">в строке 3.2.4 по сестринским предприятиям, в случае если доля участия составляет менее 10 процентов, иначе такие операции следует указывать в строке 3.2.1.</w:t>
      </w:r>
    </w:p>
    <w:p>
      <w:pPr>
        <w:spacing w:after="120"/>
        <w:jc w:val="both"/>
      </w:pPr>
      <w:r>
        <w:rPr>
          <w:rFonts w:ascii="Arial" w:cs="Arial" w:eastAsia="Arial" w:hAnsi="Arial"/>
          <w:sz w:val="24"/>
          <w:szCs w:val="24"/>
        </w:rPr>
        <w:t xml:space="preserve">3) В строке 3.3. следует отражать нераспределенную прибыль предприятий прямого инвестирования предыдущих лет и текущего года. Здесь указывается накопленный чистый доход (убыток), который остался после распределения акционерам и после перевода части средств в резерв. Нераспределенная прибыль состоит из остатка чистой прибыли (убытков) предыдущих лет, а также прибыли (убытка) текущего года на отчетную дату. Если на отчетную дату у предприятия-нерезидента убытки, то значение данного пункта указывается со знаком "минус", если прибыль, то со знаком "плюс".</w:t>
      </w:r>
    </w:p>
    <w:p>
      <w:pPr>
        <w:spacing w:after="120"/>
        <w:jc w:val="both"/>
      </w:pPr>
      <w:r>
        <w:rPr>
          <w:rFonts w:ascii="Arial" w:cs="Arial" w:eastAsia="Arial" w:hAnsi="Arial"/>
          <w:sz w:val="24"/>
          <w:szCs w:val="24"/>
        </w:rPr>
        <w:t xml:space="preserve">4) В строке 3.4. следует отражать стоимость прочих инструментов участия в капитале.</w:t>
      </w:r>
    </w:p>
    <w:p>
      <w:pPr>
        <w:spacing w:after="120"/>
        <w:jc w:val="both"/>
      </w:pPr>
      <w:r>
        <w:rPr>
          <w:rFonts w:ascii="Arial" w:cs="Arial" w:eastAsia="Arial" w:hAnsi="Arial"/>
          <w:sz w:val="24"/>
          <w:szCs w:val="24"/>
        </w:rPr>
        <w:t xml:space="preserve">12. Порядок заполнения Раздела IV (Распределенные дивиденды предприятий-нерезидентов банку):</w:t>
      </w:r>
    </w:p>
    <w:p>
      <w:pPr>
        <w:spacing w:after="120"/>
        <w:jc w:val="both"/>
      </w:pPr>
      <w:r>
        <w:rPr>
          <w:rFonts w:ascii="Arial" w:cs="Arial" w:eastAsia="Arial" w:hAnsi="Arial"/>
          <w:sz w:val="24"/>
          <w:szCs w:val="24"/>
        </w:rPr>
        <w:t xml:space="preserve">В строках 4.1.-4.1.4. следует отражать дивиденды, распределенные иностранными предприятиями банку по результатам года. Отдельно следует указать дивиденды:</w:t>
      </w:r>
    </w:p>
    <w:p>
      <w:pPr>
        <w:spacing w:after="120"/>
        <w:jc w:val="both"/>
      </w:pPr>
      <w:r>
        <w:rPr>
          <w:rFonts w:ascii="Arial" w:cs="Arial" w:eastAsia="Arial" w:hAnsi="Arial"/>
          <w:sz w:val="24"/>
          <w:szCs w:val="24"/>
        </w:rPr>
        <w:t xml:space="preserve">в строке 4.1.1 по акциям предприятий прямого инвестирования, отдельно следует указать дивиденды по привилегированным акциям в строке 4.1.1.а;</w:t>
      </w:r>
    </w:p>
    <w:p>
      <w:pPr>
        <w:spacing w:after="120"/>
        <w:jc w:val="both"/>
      </w:pPr>
      <w:r>
        <w:rPr>
          <w:rFonts w:ascii="Arial" w:cs="Arial" w:eastAsia="Arial" w:hAnsi="Arial"/>
          <w:sz w:val="24"/>
          <w:szCs w:val="24"/>
        </w:rPr>
        <w:t xml:space="preserve">в строке 4.1.2 по акциям прочих иностранных предприятий;</w:t>
      </w:r>
    </w:p>
    <w:p>
      <w:pPr>
        <w:spacing w:after="120"/>
        <w:jc w:val="both"/>
      </w:pPr>
      <w:r>
        <w:rPr>
          <w:rFonts w:ascii="Arial" w:cs="Arial" w:eastAsia="Arial" w:hAnsi="Arial"/>
          <w:sz w:val="24"/>
          <w:szCs w:val="24"/>
        </w:rPr>
        <w:t xml:space="preserve">в строке 4.1.3 по акциям предприятий прямых инвесторов (материнских компаний);</w:t>
      </w:r>
    </w:p>
    <w:p>
      <w:pPr>
        <w:spacing w:after="120"/>
        <w:jc w:val="both"/>
      </w:pPr>
      <w:r>
        <w:rPr>
          <w:rFonts w:ascii="Arial" w:cs="Arial" w:eastAsia="Arial" w:hAnsi="Arial"/>
          <w:sz w:val="24"/>
          <w:szCs w:val="24"/>
        </w:rPr>
        <w:t xml:space="preserve">в строке 4.1.4 по акциям сестринских предприятий.</w:t>
      </w:r>
    </w:p>
    <w:p>
      <w:pPr>
        <w:spacing w:after="120"/>
        <w:jc w:val="both"/>
      </w:pPr>
      <w:r>
        <w:rPr>
          <w:rFonts w:ascii="Arial" w:cs="Arial" w:eastAsia="Arial" w:hAnsi="Arial"/>
          <w:sz w:val="24"/>
          <w:szCs w:val="24"/>
        </w:rPr>
        <w:t xml:space="preserve">13. Порядок заполнения Раздела V (Движение иностранных активов коммерческого банка):</w:t>
      </w:r>
    </w:p>
    <w:p>
      <w:pPr>
        <w:spacing w:after="120"/>
        <w:jc w:val="both"/>
      </w:pPr>
      <w:r>
        <w:rPr>
          <w:rFonts w:ascii="Arial" w:cs="Arial" w:eastAsia="Arial" w:hAnsi="Arial"/>
          <w:sz w:val="24"/>
          <w:szCs w:val="24"/>
        </w:rPr>
        <w:t xml:space="preserve">1) В строках 5.1.-5.1.5. следует отражать сумму кредитов, операций по финансовому лизингу предоставленных банком нерезидентам. В данной строке также следует отражать предоставленные денежные средства, подлежащие возмещению по соглашению РЕПО и другим обратным операциям.</w:t>
      </w:r>
    </w:p>
    <w:p>
      <w:pPr>
        <w:spacing w:after="120"/>
        <w:jc w:val="both"/>
      </w:pPr>
      <w:r>
        <w:rPr>
          <w:rFonts w:ascii="Arial" w:cs="Arial" w:eastAsia="Arial" w:hAnsi="Arial"/>
          <w:sz w:val="24"/>
          <w:szCs w:val="24"/>
        </w:rPr>
        <w:t xml:space="preserve">В строке 5.1.1 следует указать кредиты, выданные прямым иностранным инвесторам-нерезидентам, отдельно по каждой стране, наименованию инвестора и в разрезе валют, в которых выданы кредиты.</w:t>
      </w:r>
    </w:p>
    <w:p>
      <w:pPr>
        <w:spacing w:after="120"/>
        <w:jc w:val="both"/>
      </w:pPr>
      <w:r>
        <w:rPr>
          <w:rFonts w:ascii="Arial" w:cs="Arial" w:eastAsia="Arial" w:hAnsi="Arial"/>
          <w:sz w:val="24"/>
          <w:szCs w:val="24"/>
        </w:rPr>
        <w:t xml:space="preserve">В строке 5.1.2. следует указать кредиты, выданные предприятию прямого инвестирования отдельно по каждой стране, наименованию предприятия и в разрезе валют, в который выданы кредиты.</w:t>
      </w:r>
    </w:p>
    <w:p>
      <w:pPr>
        <w:spacing w:after="120"/>
        <w:jc w:val="both"/>
      </w:pPr>
      <w:r>
        <w:rPr>
          <w:rFonts w:ascii="Arial" w:cs="Arial" w:eastAsia="Arial" w:hAnsi="Arial"/>
          <w:sz w:val="24"/>
          <w:szCs w:val="24"/>
        </w:rPr>
        <w:t xml:space="preserve">В строке 5.1.3. следует указать кредиты, выданные сестринским предприятиям отдельно по каждой стране, наименованию предприятия и в разрезе валют, в который выданы кредиты.</w:t>
      </w:r>
    </w:p>
    <w:p>
      <w:pPr>
        <w:spacing w:after="120"/>
        <w:jc w:val="both"/>
      </w:pPr>
      <w:r>
        <w:rPr>
          <w:rFonts w:ascii="Arial" w:cs="Arial" w:eastAsia="Arial" w:hAnsi="Arial"/>
          <w:sz w:val="24"/>
          <w:szCs w:val="24"/>
        </w:rPr>
        <w:t xml:space="preserve">В строке 5.1.4 следует указать кредиты, выданные зарубежным банкам и другим финансово-кредитным учреждениям, отдельно по каждой стране, банку и в разрезе валют, в который выданы кредиты.</w:t>
      </w:r>
    </w:p>
    <w:p>
      <w:pPr>
        <w:spacing w:after="120"/>
        <w:jc w:val="both"/>
      </w:pPr>
      <w:r>
        <w:rPr>
          <w:rFonts w:ascii="Arial" w:cs="Arial" w:eastAsia="Arial" w:hAnsi="Arial"/>
          <w:sz w:val="24"/>
          <w:szCs w:val="24"/>
        </w:rPr>
        <w:t xml:space="preserve">Примечание: Если отчитывающийся банк предоставил кредит иностранному банку или другому финансово-кредитному учреждению, являющемуся прямым инвестором для банка, предприятием прямого инвестирования или сестринским предприятием то данная операция должна отражаться в пунктах 5.1.1., 5.1.2., 5.1.3. соответственно.</w:t>
      </w:r>
    </w:p>
    <w:p>
      <w:pPr>
        <w:spacing w:after="120"/>
        <w:jc w:val="both"/>
      </w:pPr>
      <w:r>
        <w:rPr>
          <w:rFonts w:ascii="Arial" w:cs="Arial" w:eastAsia="Arial" w:hAnsi="Arial"/>
          <w:sz w:val="24"/>
          <w:szCs w:val="24"/>
        </w:rPr>
        <w:t xml:space="preserve">В строке 5.1.5 указываются кредиты, выданные прочим юридическим и физическим лицам, отдельно по странам и в разрезе валют, в которых выданы кредиты.</w:t>
      </w:r>
    </w:p>
    <w:p>
      <w:pPr>
        <w:spacing w:after="120"/>
        <w:jc w:val="both"/>
      </w:pPr>
      <w:r>
        <w:rPr>
          <w:rFonts w:ascii="Arial" w:cs="Arial" w:eastAsia="Arial" w:hAnsi="Arial"/>
          <w:sz w:val="24"/>
          <w:szCs w:val="24"/>
        </w:rPr>
        <w:t xml:space="preserve">Предоставляемые кредиты делятся на краткосрочные - предоставленные на срок до одного года (строки 5.1.1.1, 5.1.2.1, 5.1.3.1, 5.1.4.1 и 5.1.5.1) и долгосрочные - предоставленные на срок 1 год и более (строки 5.1.1.2, 5.1.2.2, 5.1.3.2, 5.1.4.2 и 5.1.5.2), отдельно по странам, наименованию партнера нерезидента, банкам и в разрезе валют, в которых выданы кредиты.</w:t>
      </w:r>
    </w:p>
    <w:p>
      <w:pPr>
        <w:spacing w:after="120"/>
        <w:jc w:val="both"/>
      </w:pPr>
      <w:r>
        <w:rPr>
          <w:rFonts w:ascii="Arial" w:cs="Arial" w:eastAsia="Arial" w:hAnsi="Arial"/>
          <w:sz w:val="24"/>
          <w:szCs w:val="24"/>
        </w:rPr>
        <w:t xml:space="preserve">2) В строках 5.2.-5.2.3. следует отражать иностранные ценные бумаги, находящиеся во владении у банка. Иностранные ценные бумаги, купленные в течение отчетного периода отражаются, как увеличение активов, а иностранные ценные бумаги, проданные в течение отчетного периода отражаются как уменьшение активов.</w:t>
      </w:r>
    </w:p>
    <w:p>
      <w:pPr>
        <w:spacing w:after="120"/>
        <w:jc w:val="both"/>
      </w:pPr>
      <w:r>
        <w:rPr>
          <w:rFonts w:ascii="Arial" w:cs="Arial" w:eastAsia="Arial" w:hAnsi="Arial"/>
          <w:sz w:val="24"/>
          <w:szCs w:val="24"/>
        </w:rPr>
        <w:t xml:space="preserve">В строке 5.2.1 указываются облигации, долговые обязательства, которые дают право на получение денежного дохода, сумма которого является фиксированной, либо меняется в соответствии с условиями контракта.</w:t>
      </w:r>
    </w:p>
    <w:p>
      <w:pPr>
        <w:spacing w:after="120"/>
        <w:jc w:val="both"/>
      </w:pPr>
      <w:r>
        <w:rPr>
          <w:rFonts w:ascii="Arial" w:cs="Arial" w:eastAsia="Arial" w:hAnsi="Arial"/>
          <w:sz w:val="24"/>
          <w:szCs w:val="24"/>
        </w:rPr>
        <w:t xml:space="preserve">В строке 5.2.2. следует указать ценные бумаги денежного рынка, которые дают безусловное право на получение в установленный срок оговоренной фиксированной суммы денег и обычно продаются/покупаются на организованных рынках по цене ниже цены погашения (коммерческие и финансовые бумаги, банковские акцепты, обращающиеся депозитные сертификаты).</w:t>
      </w:r>
    </w:p>
    <w:p>
      <w:pPr>
        <w:spacing w:after="120"/>
        <w:jc w:val="both"/>
      </w:pPr>
      <w:r>
        <w:rPr>
          <w:rFonts w:ascii="Arial" w:cs="Arial" w:eastAsia="Arial" w:hAnsi="Arial"/>
          <w:sz w:val="24"/>
          <w:szCs w:val="24"/>
        </w:rPr>
        <w:t xml:space="preserve">Ценные бумаги делятся на краткосрочные - выпущенные на срок до одного года (строки 5.2.1.1. и 5.2.2.1.) и долгосрочные - выпущенные на срок 1 год и более (строки 5.2.1.2, и 5.2.2.2.), отдельно по странам, и в разрезе валют, в которых выпущены ценные бумаги.</w:t>
      </w:r>
    </w:p>
    <w:p>
      <w:pPr>
        <w:spacing w:after="120"/>
        <w:jc w:val="both"/>
      </w:pPr>
      <w:r>
        <w:rPr>
          <w:rFonts w:ascii="Arial" w:cs="Arial" w:eastAsia="Arial" w:hAnsi="Arial"/>
          <w:sz w:val="24"/>
          <w:szCs w:val="24"/>
        </w:rPr>
        <w:t xml:space="preserve">В строке 5.2.3 следует указать производные или вторичные финансовые инструменты обеспечивают заранее оговариваемое право на получение в установленный срок в будущем некоторого экономического блага, например, в форме наличных денег, первичного финансового инструмента и т.п. (валютные, процентные, товарные опционы, обращающиеся финансовые фьючерсы, варранты, соглашения о валютных и процентных свопах).</w:t>
      </w:r>
    </w:p>
    <w:p>
      <w:pPr>
        <w:spacing w:after="120"/>
        <w:jc w:val="both"/>
      </w:pPr>
      <w:r>
        <w:rPr>
          <w:rFonts w:ascii="Arial" w:cs="Arial" w:eastAsia="Arial" w:hAnsi="Arial"/>
          <w:sz w:val="24"/>
          <w:szCs w:val="24"/>
        </w:rPr>
        <w:t xml:space="preserve">3) В строках 5.3.-5.3.2. следует отражать депозиты банка в банках за рубежом (исключая корреспондентские счета). Депонированные средства делятся на краткосрочные, со сроком размещения до одного года (строка 5.3.1) и долгосрочные со сроком размещения 1 год и более (строка 5.3.2), отдельно по странам, банкам и тем видам валют, в которых размещены средства.</w:t>
      </w:r>
    </w:p>
    <w:p>
      <w:pPr>
        <w:spacing w:after="120"/>
        <w:jc w:val="both"/>
      </w:pPr>
      <w:r>
        <w:rPr>
          <w:rFonts w:ascii="Arial" w:cs="Arial" w:eastAsia="Arial" w:hAnsi="Arial"/>
          <w:sz w:val="24"/>
          <w:szCs w:val="24"/>
        </w:rPr>
        <w:t xml:space="preserve">4) 5.4. В этой строке следует отражать сумму средств на корреспондентских счетах банка за рубежом ("ностро-счета"), по каждой стране, банку и по каждой валюте. В данной строке также следует отражать операции с драгоценными металлами.</w:t>
      </w:r>
    </w:p>
    <w:p>
      <w:pPr>
        <w:spacing w:after="120"/>
        <w:jc w:val="both"/>
      </w:pPr>
      <w:r>
        <w:rPr>
          <w:rFonts w:ascii="Arial" w:cs="Arial" w:eastAsia="Arial" w:hAnsi="Arial"/>
          <w:sz w:val="24"/>
          <w:szCs w:val="24"/>
        </w:rPr>
        <w:t xml:space="preserve">В строке 5.4.а. следует выделить нейтральные операции по каждой стране, банку и видам валют.</w:t>
      </w:r>
    </w:p>
    <w:p>
      <w:pPr>
        <w:spacing w:after="120"/>
        <w:jc w:val="both"/>
      </w:pPr>
      <w:r>
        <w:rPr>
          <w:rFonts w:ascii="Arial" w:cs="Arial" w:eastAsia="Arial" w:hAnsi="Arial"/>
          <w:sz w:val="24"/>
          <w:szCs w:val="24"/>
        </w:rPr>
        <w:t xml:space="preserve">5) В строке 5.5. следует отражать денежные средства в оборотной кассе, в разрезе валют.</w:t>
      </w:r>
    </w:p>
    <w:p>
      <w:pPr>
        <w:spacing w:after="120"/>
        <w:jc w:val="both"/>
      </w:pPr>
      <w:r>
        <w:rPr>
          <w:rFonts w:ascii="Arial" w:cs="Arial" w:eastAsia="Arial" w:hAnsi="Arial"/>
          <w:sz w:val="24"/>
          <w:szCs w:val="24"/>
        </w:rPr>
        <w:t xml:space="preserve">6) В строке 5.6. следует отражать денежные средства в пути, в разрезе валют.</w:t>
      </w:r>
    </w:p>
    <w:p>
      <w:pPr>
        <w:spacing w:after="120"/>
        <w:jc w:val="both"/>
      </w:pPr>
      <w:r>
        <w:rPr>
          <w:rFonts w:ascii="Arial" w:cs="Arial" w:eastAsia="Arial" w:hAnsi="Arial"/>
          <w:sz w:val="24"/>
          <w:szCs w:val="24"/>
        </w:rPr>
        <w:t xml:space="preserve">7) В строке 5.7. следует отражать денежные активы в расчетах, в разрезе валют.</w:t>
      </w:r>
    </w:p>
    <w:p>
      <w:pPr>
        <w:spacing w:after="120"/>
        <w:jc w:val="both"/>
      </w:pPr>
      <w:r>
        <w:rPr>
          <w:rFonts w:ascii="Arial" w:cs="Arial" w:eastAsia="Arial" w:hAnsi="Arial"/>
          <w:sz w:val="24"/>
          <w:szCs w:val="24"/>
        </w:rPr>
        <w:t xml:space="preserve">14. Порядок заполнения Раздела VI (Доходы, полученные по зарубежным активам банка):</w:t>
      </w:r>
    </w:p>
    <w:p>
      <w:pPr>
        <w:spacing w:after="120"/>
        <w:jc w:val="both"/>
      </w:pPr>
      <w:r>
        <w:rPr>
          <w:rFonts w:ascii="Arial" w:cs="Arial" w:eastAsia="Arial" w:hAnsi="Arial"/>
          <w:sz w:val="24"/>
          <w:szCs w:val="24"/>
        </w:rPr>
        <w:t xml:space="preserve">1) В строках 6.1.-6.1.5. следует отражать проценты по выданным кредитам, отдельно по странам, наименованию нерезидента и в разрезе валют. Отдельно следует указать:</w:t>
      </w:r>
    </w:p>
    <w:p>
      <w:pPr>
        <w:spacing w:after="120"/>
        <w:jc w:val="both"/>
      </w:pPr>
      <w:r>
        <w:rPr>
          <w:rFonts w:ascii="Arial" w:cs="Arial" w:eastAsia="Arial" w:hAnsi="Arial"/>
          <w:sz w:val="24"/>
          <w:szCs w:val="24"/>
        </w:rPr>
        <w:t xml:space="preserve">в строке 6.1.1 проценты по кредитам, выданным прямым инвесторам;</w:t>
      </w:r>
    </w:p>
    <w:p>
      <w:pPr>
        <w:spacing w:after="120"/>
        <w:jc w:val="both"/>
      </w:pPr>
      <w:r>
        <w:rPr>
          <w:rFonts w:ascii="Arial" w:cs="Arial" w:eastAsia="Arial" w:hAnsi="Arial"/>
          <w:sz w:val="24"/>
          <w:szCs w:val="24"/>
        </w:rPr>
        <w:t xml:space="preserve">в строке 6.1.2 проценты по кредитам, выданным предприятию прямого инвестирования;</w:t>
      </w:r>
    </w:p>
    <w:p>
      <w:pPr>
        <w:spacing w:after="120"/>
        <w:jc w:val="both"/>
      </w:pPr>
      <w:r>
        <w:rPr>
          <w:rFonts w:ascii="Arial" w:cs="Arial" w:eastAsia="Arial" w:hAnsi="Arial"/>
          <w:sz w:val="24"/>
          <w:szCs w:val="24"/>
        </w:rPr>
        <w:t xml:space="preserve">в строке 6.1.3 проценты по кредитам, выданным сестринским предприятиям;</w:t>
      </w:r>
    </w:p>
    <w:p>
      <w:pPr>
        <w:spacing w:after="120"/>
        <w:jc w:val="both"/>
      </w:pPr>
      <w:r>
        <w:rPr>
          <w:rFonts w:ascii="Arial" w:cs="Arial" w:eastAsia="Arial" w:hAnsi="Arial"/>
          <w:sz w:val="24"/>
          <w:szCs w:val="24"/>
        </w:rPr>
        <w:t xml:space="preserve">в строке 6.1.4 проценты по кредитам, выданным банкам и другим финансово-кредитным учреждениям;</w:t>
      </w:r>
    </w:p>
    <w:p>
      <w:pPr>
        <w:spacing w:after="120"/>
        <w:jc w:val="both"/>
      </w:pPr>
      <w:r>
        <w:rPr>
          <w:rFonts w:ascii="Arial" w:cs="Arial" w:eastAsia="Arial" w:hAnsi="Arial"/>
          <w:sz w:val="24"/>
          <w:szCs w:val="24"/>
        </w:rPr>
        <w:t xml:space="preserve">в строке 6.1.5 проценты по кредитам, выданным прочим юридическим и физическим лицам.</w:t>
      </w:r>
    </w:p>
    <w:p>
      <w:pPr>
        <w:spacing w:after="120"/>
        <w:jc w:val="both"/>
      </w:pPr>
      <w:r>
        <w:rPr>
          <w:rFonts w:ascii="Arial" w:cs="Arial" w:eastAsia="Arial" w:hAnsi="Arial"/>
          <w:sz w:val="24"/>
          <w:szCs w:val="24"/>
        </w:rPr>
        <w:t xml:space="preserve">6.2. В этой строке следует отражать доходы по иностранным ценным бумагам, включающие проценты и дивиденды, отдельно по странам и в разрезе валют.</w:t>
      </w:r>
    </w:p>
    <w:p>
      <w:pPr>
        <w:spacing w:after="120"/>
        <w:jc w:val="both"/>
      </w:pPr>
      <w:r>
        <w:rPr>
          <w:rFonts w:ascii="Arial" w:cs="Arial" w:eastAsia="Arial" w:hAnsi="Arial"/>
          <w:sz w:val="24"/>
          <w:szCs w:val="24"/>
        </w:rPr>
        <w:t xml:space="preserve">2) В строке 6.3. следует отражать проценты по депозитам, отдельно по странам, банкам и в разрезе валют.</w:t>
      </w:r>
    </w:p>
    <w:p>
      <w:pPr>
        <w:spacing w:after="120"/>
        <w:jc w:val="both"/>
      </w:pPr>
      <w:r>
        <w:rPr>
          <w:rFonts w:ascii="Arial" w:cs="Arial" w:eastAsia="Arial" w:hAnsi="Arial"/>
          <w:sz w:val="24"/>
          <w:szCs w:val="24"/>
        </w:rPr>
        <w:t xml:space="preserve">3) В строке 6.4. следует отражать проценты по корсчетам, отдельно по странам, банкам и в разрезе валют.</w:t>
      </w:r>
    </w:p>
    <w:p>
      <w:pPr>
        <w:spacing w:after="120"/>
        <w:jc w:val="both"/>
      </w:pPr>
      <w:r>
        <w:rPr>
          <w:rFonts w:ascii="Arial" w:cs="Arial" w:eastAsia="Arial" w:hAnsi="Arial"/>
          <w:sz w:val="24"/>
          <w:szCs w:val="24"/>
        </w:rPr>
        <w:t xml:space="preserve">4) В строке 6.5. следует отражать прочие доходы, полученные банком от нерезидентов, в том числе комиссионные за предоставленные банковские услуги (открытие счета, перевод денежных средств и др.), отдельно по странам и в разрезе валют.</w:t>
      </w:r>
    </w:p>
    <w:p>
      <w:pPr>
        <w:spacing w:after="120"/>
        <w:jc w:val="both"/>
      </w:pPr>
      <w:r>
        <w:rPr>
          <w:rFonts w:ascii="Arial" w:cs="Arial" w:eastAsia="Arial" w:hAnsi="Arial"/>
          <w:sz w:val="24"/>
          <w:szCs w:val="24"/>
        </w:rPr>
        <w:t xml:space="preserve">15. Порядок заполнения Раздела VII (Движение иностранных обязательств коммерческого банка):</w:t>
      </w:r>
    </w:p>
    <w:p>
      <w:pPr>
        <w:spacing w:after="120"/>
        <w:jc w:val="both"/>
      </w:pPr>
      <w:r>
        <w:rPr>
          <w:rFonts w:ascii="Arial" w:cs="Arial" w:eastAsia="Arial" w:hAnsi="Arial"/>
          <w:sz w:val="24"/>
          <w:szCs w:val="24"/>
        </w:rPr>
        <w:t xml:space="preserve">1) В строках 7.1.-7.1.5. следует отражать суммы кредитов, операций по финансовому лизингу полученных банком от нерезидентов. Получение кредитов отражается как увеличение обязательств, а погашение основных сумм полученных ранее кредитов отражается как уменьшение обязательств. При этом в конце отчета следует заполнить таблицы по прогнозу (графика) погашения основной суммы и процентов в </w:t>
      </w:r>
      <w:hyperlink w:history="1" r:id="rIdio31kte0ygwfrcyqvtcqg">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строке 7.1.1. следует указывать кредиты, полученные от прямых иностранных инвесторов-нерезидентов, отдельно по каждой стране, наименованию партнера и в разрезе валют, в которых получены кредиты.</w:t>
      </w:r>
    </w:p>
    <w:p>
      <w:pPr>
        <w:spacing w:after="120"/>
        <w:jc w:val="both"/>
      </w:pPr>
      <w:r>
        <w:rPr>
          <w:rFonts w:ascii="Arial" w:cs="Arial" w:eastAsia="Arial" w:hAnsi="Arial"/>
          <w:sz w:val="24"/>
          <w:szCs w:val="24"/>
        </w:rPr>
        <w:t xml:space="preserve">В строке 7.1.2. следует указать кредиты, полученные от предприятия прямого иностранного инвестора, отдельно по каждой стране, наименованию партнера и в разрезе валют, в которых выданы кредиты.</w:t>
      </w:r>
    </w:p>
    <w:p>
      <w:pPr>
        <w:spacing w:after="120"/>
        <w:jc w:val="both"/>
      </w:pPr>
      <w:r>
        <w:rPr>
          <w:rFonts w:ascii="Arial" w:cs="Arial" w:eastAsia="Arial" w:hAnsi="Arial"/>
          <w:sz w:val="24"/>
          <w:szCs w:val="24"/>
        </w:rPr>
        <w:t xml:space="preserve">В строке 7.1.3. следует указать кредиты, полученные сестринскими предприятиями отдельно по каждой стране, наименованию предприятия и в разрезе валют, в которых выданы кредиты.</w:t>
      </w:r>
    </w:p>
    <w:p>
      <w:pPr>
        <w:spacing w:after="120"/>
        <w:jc w:val="both"/>
      </w:pPr>
      <w:r>
        <w:rPr>
          <w:rFonts w:ascii="Arial" w:cs="Arial" w:eastAsia="Arial" w:hAnsi="Arial"/>
          <w:sz w:val="24"/>
          <w:szCs w:val="24"/>
        </w:rPr>
        <w:t xml:space="preserve">В строке 7.1.4. следует указывать полученные межбанковские кредиты и кредиты других финансово-кредитных учреждений из-за рубежа, отдельно по странам, банкам и в разрезе валют, в которых получены кредиты.</w:t>
      </w:r>
    </w:p>
    <w:p>
      <w:pPr>
        <w:spacing w:after="120"/>
        <w:jc w:val="both"/>
      </w:pPr>
      <w:r>
        <w:rPr>
          <w:rFonts w:ascii="Arial" w:cs="Arial" w:eastAsia="Arial" w:hAnsi="Arial"/>
          <w:sz w:val="24"/>
          <w:szCs w:val="24"/>
        </w:rPr>
        <w:t xml:space="preserve">Примечание: Если отчитывающийся банк получил кредит от иностранного банка или другого финансово-кредитного учреждения, являющегося прямым инвестором, предприятием прямого инвестирования или сестринским предприятием для банка, то данная операция должна отражаться в пунктах 7.1.1., 7.1.2., 7.1.3. соответственно.</w:t>
      </w:r>
    </w:p>
    <w:p>
      <w:pPr>
        <w:spacing w:after="120"/>
        <w:jc w:val="both"/>
      </w:pPr>
      <w:r>
        <w:rPr>
          <w:rFonts w:ascii="Arial" w:cs="Arial" w:eastAsia="Arial" w:hAnsi="Arial"/>
          <w:sz w:val="24"/>
          <w:szCs w:val="24"/>
        </w:rPr>
        <w:t xml:space="preserve">В строке 7.1.5 следует отражать кредиты, полученные от прочих юридических и физических лиц, отдельно по странам и в разрезе валют, в которых получены кредиты.</w:t>
      </w:r>
    </w:p>
    <w:p>
      <w:pPr>
        <w:spacing w:after="120"/>
        <w:jc w:val="both"/>
      </w:pPr>
      <w:r>
        <w:rPr>
          <w:rFonts w:ascii="Arial" w:cs="Arial" w:eastAsia="Arial" w:hAnsi="Arial"/>
          <w:sz w:val="24"/>
          <w:szCs w:val="24"/>
        </w:rPr>
        <w:t xml:space="preserve">Получаемые кредиты делятся на краткосрочные - полученные на срок до одного года (строки 7.1.1.1, 7.1.2.1, 7.1.3.1, 7.1.4.1 и 7.1.5.1) и долгосрочные полученные на срок 1 год и более (строки 7.1.1.2, 7.1.2.2, 7.1.3.2, 7.1.4.2 и 7.1.5.2), отдельно по странам, наименованию прямого иностранного инвестора-нерезидента, банкам и в разрезе валют, в которых получены кредиты.</w:t>
      </w:r>
    </w:p>
    <w:p>
      <w:pPr>
        <w:spacing w:after="120"/>
        <w:jc w:val="both"/>
      </w:pPr>
      <w:r>
        <w:rPr>
          <w:rFonts w:ascii="Arial" w:cs="Arial" w:eastAsia="Arial" w:hAnsi="Arial"/>
          <w:sz w:val="24"/>
          <w:szCs w:val="24"/>
        </w:rPr>
        <w:t xml:space="preserve">2) В строках 7.2.-7.2.3. следует отражать ценные бумаги выпущенные банком, находящиеся во владении у нерезидентов, кроме ценных бумаг участвующих в капитале. Ценные бумаги банка, проданные в течение отчетного периода отражаются, как увеличение обязательств, а выкупленные или погашенные ценные бумаги в течение отчетного периода отражаются как уменьшение обязательств.</w:t>
      </w:r>
    </w:p>
    <w:p>
      <w:pPr>
        <w:spacing w:after="120"/>
        <w:jc w:val="both"/>
      </w:pPr>
      <w:r>
        <w:rPr>
          <w:rFonts w:ascii="Arial" w:cs="Arial" w:eastAsia="Arial" w:hAnsi="Arial"/>
          <w:sz w:val="24"/>
          <w:szCs w:val="24"/>
        </w:rPr>
        <w:t xml:space="preserve">В строке 7.2.1. указываются облигации, долговые обязательства, которые дают право владельцу право на получение денежного дохода, сумма которого является фиксированной, либо меняется в соответствии с условиями контракта.</w:t>
      </w:r>
    </w:p>
    <w:p>
      <w:pPr>
        <w:spacing w:after="120"/>
        <w:jc w:val="both"/>
      </w:pPr>
      <w:r>
        <w:rPr>
          <w:rFonts w:ascii="Arial" w:cs="Arial" w:eastAsia="Arial" w:hAnsi="Arial"/>
          <w:sz w:val="24"/>
          <w:szCs w:val="24"/>
        </w:rPr>
        <w:t xml:space="preserve">В строке 7.2.2. следует указать ценные бумаги денежного рынка, которые дают безусловное право на получение в установленный срок оговоренной фиксированной суммы денег и обычно продаются/покупаются на организованных рынках по цене ниже цены погашения (коммерческие и финансовые бумаги, банковские акцепты, обращающиеся депозитные сертификаты).</w:t>
      </w:r>
    </w:p>
    <w:p>
      <w:pPr>
        <w:spacing w:after="120"/>
        <w:jc w:val="both"/>
      </w:pPr>
      <w:r>
        <w:rPr>
          <w:rFonts w:ascii="Arial" w:cs="Arial" w:eastAsia="Arial" w:hAnsi="Arial"/>
          <w:sz w:val="24"/>
          <w:szCs w:val="24"/>
        </w:rPr>
        <w:t xml:space="preserve">Ценные бумаги делятся на краткосрочные - выпущенные на срок до одного года (строки 7.2.1.1. и 7.2.2.1.) и долгосрочные - выпущенные на срок 1 год и более (строки 7.2.1.2. и 7.2.2.2.), отдельно по странам, и в разрезе валют, в которых выпущены ценные бумаги.</w:t>
      </w:r>
    </w:p>
    <w:p>
      <w:pPr>
        <w:spacing w:after="120"/>
        <w:jc w:val="both"/>
      </w:pPr>
      <w:r>
        <w:rPr>
          <w:rFonts w:ascii="Arial" w:cs="Arial" w:eastAsia="Arial" w:hAnsi="Arial"/>
          <w:sz w:val="24"/>
          <w:szCs w:val="24"/>
        </w:rPr>
        <w:t xml:space="preserve">В строке 7.2.3. следует указать производные или вторичные финансовые инструменты, обеспечивающие заранее оговариваемое право на получение в установленный срок в будущем некоторого экономического блага, например, в форме наличных денег, первичного финансового инструмента и т.п. (валютные, процентные, товарные опционы, обращающиеся финансовые фьючерсы, варранты, соглашения о валютных и процентных свопах).</w:t>
      </w:r>
    </w:p>
    <w:p>
      <w:pPr>
        <w:spacing w:after="120"/>
        <w:jc w:val="both"/>
      </w:pPr>
      <w:r>
        <w:rPr>
          <w:rFonts w:ascii="Arial" w:cs="Arial" w:eastAsia="Arial" w:hAnsi="Arial"/>
          <w:sz w:val="24"/>
          <w:szCs w:val="24"/>
        </w:rPr>
        <w:t xml:space="preserve">3) В строках 7.3.-7.3.2.2. следует отражать депозиты нерезидентов, размещенные в отчитывающемся банке. В строке 7.3.1 следует отражать депозиты банков и других финансово-кредитных учреждений, кроме корреспондентских счетов, отдельно по странам, банкам и в разрезе валют, в которых размещены депозиты. Депонированные средства делятся на краткосрочные со сроком размещения до одного года (строка 7.3.1.1) и долгосрочные со сроком размещения 1 год и более (строка 7.3.1.2).</w:t>
      </w:r>
    </w:p>
    <w:p>
      <w:pPr>
        <w:spacing w:after="120"/>
        <w:jc w:val="both"/>
      </w:pPr>
      <w:r>
        <w:rPr>
          <w:rFonts w:ascii="Arial" w:cs="Arial" w:eastAsia="Arial" w:hAnsi="Arial"/>
          <w:sz w:val="24"/>
          <w:szCs w:val="24"/>
        </w:rPr>
        <w:t xml:space="preserve">В строке 7.3.2 следует отражать депозиты нерезидентов (юридических и физических лиц), кроме расчетных счетов, отдельно по странам и в разрезе валют, в которых размещены депозиты. В данной строке также следует отражать денежные средства подлежащие возврату по соглашениям РЕПО и по другим обратным операциям. Депонированные средства делятся на краткосрочные со сроком размещения до одного года (строка 7.3.2.1) и долгосрочные со сроком размещения 1 год и более (строка 7.3.2.2).</w:t>
      </w:r>
    </w:p>
    <w:p>
      <w:pPr>
        <w:spacing w:after="120"/>
        <w:jc w:val="both"/>
      </w:pPr>
      <w:r>
        <w:rPr>
          <w:rFonts w:ascii="Arial" w:cs="Arial" w:eastAsia="Arial" w:hAnsi="Arial"/>
          <w:sz w:val="24"/>
          <w:szCs w:val="24"/>
        </w:rPr>
        <w:t xml:space="preserve">4) В строке 7.4. следует отражать корреспондентские счета банков за рубежом ("лоро-счета"), отдельно по странам, банкам и в разрезе валют.</w:t>
      </w:r>
    </w:p>
    <w:p>
      <w:pPr>
        <w:spacing w:after="120"/>
        <w:jc w:val="both"/>
      </w:pPr>
      <w:r>
        <w:rPr>
          <w:rFonts w:ascii="Arial" w:cs="Arial" w:eastAsia="Arial" w:hAnsi="Arial"/>
          <w:sz w:val="24"/>
          <w:szCs w:val="24"/>
        </w:rPr>
        <w:t xml:space="preserve">5) В строке 7.5. следует отражать расчетные счета нерезидентов (физических и юридических лиц), отдельно по странам и в разрезе валют.</w:t>
      </w:r>
    </w:p>
    <w:p>
      <w:pPr>
        <w:spacing w:after="120"/>
        <w:jc w:val="both"/>
      </w:pPr>
      <w:r>
        <w:rPr>
          <w:rFonts w:ascii="Arial" w:cs="Arial" w:eastAsia="Arial" w:hAnsi="Arial"/>
          <w:sz w:val="24"/>
          <w:szCs w:val="24"/>
        </w:rPr>
        <w:t xml:space="preserve">16. Порядок заполнения Раздела VIII (Расходы по зарубежным обязательствам банка):</w:t>
      </w:r>
    </w:p>
    <w:p>
      <w:pPr>
        <w:spacing w:after="120"/>
        <w:jc w:val="both"/>
      </w:pPr>
      <w:r>
        <w:rPr>
          <w:rFonts w:ascii="Arial" w:cs="Arial" w:eastAsia="Arial" w:hAnsi="Arial"/>
          <w:sz w:val="24"/>
          <w:szCs w:val="24"/>
        </w:rPr>
        <w:t xml:space="preserve">1) В строках 8.1.-8.1.4. следует отражать проценты по полученным ранее кредитам, отдельно по странам, наименованию партнера и в разрезе валют. Отдельно следует указать:</w:t>
      </w:r>
    </w:p>
    <w:p>
      <w:pPr>
        <w:spacing w:after="120"/>
        <w:jc w:val="both"/>
      </w:pPr>
      <w:r>
        <w:rPr>
          <w:rFonts w:ascii="Arial" w:cs="Arial" w:eastAsia="Arial" w:hAnsi="Arial"/>
          <w:sz w:val="24"/>
          <w:szCs w:val="24"/>
        </w:rPr>
        <w:t xml:space="preserve">в строке 8.1.1 проценты по кредитам, полученных от прямых инвесторов;</w:t>
      </w:r>
    </w:p>
    <w:p>
      <w:pPr>
        <w:spacing w:after="120"/>
        <w:jc w:val="both"/>
      </w:pPr>
      <w:r>
        <w:rPr>
          <w:rFonts w:ascii="Arial" w:cs="Arial" w:eastAsia="Arial" w:hAnsi="Arial"/>
          <w:sz w:val="24"/>
          <w:szCs w:val="24"/>
        </w:rPr>
        <w:t xml:space="preserve">в строке 8.1.2 проценты по кредитам, полученных от предприятий прямого инвестирования;</w:t>
      </w:r>
    </w:p>
    <w:p>
      <w:pPr>
        <w:spacing w:after="120"/>
        <w:jc w:val="both"/>
      </w:pPr>
      <w:r>
        <w:rPr>
          <w:rFonts w:ascii="Arial" w:cs="Arial" w:eastAsia="Arial" w:hAnsi="Arial"/>
          <w:sz w:val="24"/>
          <w:szCs w:val="24"/>
        </w:rPr>
        <w:t xml:space="preserve">в строке 8.1.3 проценты по кредитам, полученных от сестринских предприятий;</w:t>
      </w:r>
    </w:p>
    <w:p>
      <w:pPr>
        <w:spacing w:after="120"/>
        <w:jc w:val="both"/>
      </w:pPr>
      <w:r>
        <w:rPr>
          <w:rFonts w:ascii="Arial" w:cs="Arial" w:eastAsia="Arial" w:hAnsi="Arial"/>
          <w:sz w:val="24"/>
          <w:szCs w:val="24"/>
        </w:rPr>
        <w:t xml:space="preserve">в строке 8.1.4 проценты по кредитам, полученных банками и другими финансово-кредитными учреждениями;</w:t>
      </w:r>
    </w:p>
    <w:p>
      <w:pPr>
        <w:spacing w:after="120"/>
        <w:jc w:val="both"/>
      </w:pPr>
      <w:r>
        <w:rPr>
          <w:rFonts w:ascii="Arial" w:cs="Arial" w:eastAsia="Arial" w:hAnsi="Arial"/>
          <w:sz w:val="24"/>
          <w:szCs w:val="24"/>
        </w:rPr>
        <w:t xml:space="preserve">в строке 8.1.5 проценты по кредитам, полученных прочими юридическими и физическими лицами.</w:t>
      </w:r>
    </w:p>
    <w:p>
      <w:pPr>
        <w:spacing w:after="120"/>
        <w:jc w:val="both"/>
      </w:pPr>
      <w:r>
        <w:rPr>
          <w:rFonts w:ascii="Arial" w:cs="Arial" w:eastAsia="Arial" w:hAnsi="Arial"/>
          <w:sz w:val="24"/>
          <w:szCs w:val="24"/>
        </w:rPr>
        <w:t xml:space="preserve">2) В строке 8.2. следует отражать выплаченные расходы по иностранным ценным бумагам, отдельно по странам и в разрезе валют.</w:t>
      </w:r>
    </w:p>
    <w:p>
      <w:pPr>
        <w:spacing w:after="120"/>
        <w:jc w:val="both"/>
      </w:pPr>
      <w:r>
        <w:rPr>
          <w:rFonts w:ascii="Arial" w:cs="Arial" w:eastAsia="Arial" w:hAnsi="Arial"/>
          <w:sz w:val="24"/>
          <w:szCs w:val="24"/>
        </w:rPr>
        <w:t xml:space="preserve">3) В строке 8.3. следует отражать проценты по корреспондентским счетам банков-нерезидентов, размещенным в банке, отдельно по странам, наименованию нерезидента и в разрезе валют.</w:t>
      </w:r>
    </w:p>
    <w:p>
      <w:pPr>
        <w:spacing w:after="120"/>
        <w:jc w:val="both"/>
      </w:pPr>
      <w:r>
        <w:rPr>
          <w:rFonts w:ascii="Arial" w:cs="Arial" w:eastAsia="Arial" w:hAnsi="Arial"/>
          <w:sz w:val="24"/>
          <w:szCs w:val="24"/>
        </w:rPr>
        <w:t xml:space="preserve">4) В строке 8.4. следует отражать проценты по депозитам нерезидентов, размещенным в банке, отдельно по странам, наименованию нерезидента и в разрезе валют.</w:t>
      </w:r>
    </w:p>
    <w:p>
      <w:pPr>
        <w:spacing w:after="120"/>
        <w:jc w:val="both"/>
      </w:pPr>
      <w:r>
        <w:rPr>
          <w:rFonts w:ascii="Arial" w:cs="Arial" w:eastAsia="Arial" w:hAnsi="Arial"/>
          <w:sz w:val="24"/>
          <w:szCs w:val="24"/>
        </w:rPr>
        <w:t xml:space="preserve">5) В строке 8.5. следует отражать прочие расходы, выплаченные банком нерезидентам, в том числе комиссионные за полученные услуги (открытие счетов, перевод денежных средств и др.), отдельно по странам и в разрезе валют.</w:t>
      </w:r>
    </w:p>
    <w:p>
      <w:pPr>
        <w:spacing w:after="120"/>
        <w:jc w:val="both"/>
      </w:pPr>
      <w:r>
        <w:rPr>
          <w:rFonts w:ascii="Arial" w:cs="Arial" w:eastAsia="Arial" w:hAnsi="Arial"/>
          <w:sz w:val="24"/>
          <w:szCs w:val="24"/>
        </w:rPr>
        <w:t xml:space="preserve">В заключение отчета следует указать:</w:t>
      </w:r>
    </w:p>
    <w:p>
      <w:pPr>
        <w:spacing w:after="120"/>
        <w:jc w:val="both"/>
      </w:pPr>
      <w:r>
        <w:rPr>
          <w:rFonts w:ascii="Arial" w:cs="Arial" w:eastAsia="Arial" w:hAnsi="Arial"/>
          <w:sz w:val="24"/>
          <w:szCs w:val="24"/>
        </w:rPr>
        <w:t xml:space="preserve">- фамилию, имя, отчество, и телефон лица, отвечающего за полноту содержания, сроки представления и правильность заполнения отчета;</w:t>
      </w:r>
    </w:p>
    <w:p>
      <w:pPr>
        <w:spacing w:after="120"/>
        <w:jc w:val="both"/>
      </w:pPr>
      <w:r>
        <w:rPr>
          <w:rFonts w:ascii="Arial" w:cs="Arial" w:eastAsia="Arial" w:hAnsi="Arial"/>
          <w:sz w:val="24"/>
          <w:szCs w:val="24"/>
        </w:rPr>
        <w:t xml:space="preserve">- фамилию, имя, отчество руководителя банка или лица, им уполномоченного.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jtfieama2vzpnnpvvcmgo">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международных операциях банка, утвержденного постановлением Правления Национального банка Кыргызской Республики
 от 23 декабря 2013 года № 52/9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отчетности по международным операциям коммерческого банка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Информация о капитале банка
 (заполняется банками с участием иностранного капитала)</w:t>
      </w:r>
    </w:p>
    <w:p>
      <w:pPr>
        <w:spacing w:after="120"/>
        <w:jc w:val="center"/>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в номинале валют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
        <w:gridCol w:w="3623"/>
        <w:gridCol w:w="1207"/>
        <w:gridCol w:w="1017"/>
        <w:gridCol w:w="1017"/>
        <w:gridCol w:w="1590"/>
        <w:gridCol w:w="1036"/>
      </w:tblGrid>
      <w:tr>
        <w:tc>
          <w:tcPr>
            <w:tcW w:type="dxa" w:w="68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на нач. периода</w:t>
            </w:r>
          </w:p>
        </w:tc>
        <w:tc>
          <w:tcPr>
            <w:tcW w:type="dxa" w:w="203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операций</w:t>
            </w:r>
          </w:p>
        </w:tc>
        <w:tc>
          <w:tcPr>
            <w:tcW w:type="dxa" w:w="15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изменения (+/-)</w:t>
            </w:r>
          </w:p>
        </w:tc>
        <w:tc>
          <w:tcPr>
            <w:tcW w:type="dxa" w:w="10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на кон. периода</w:t>
            </w:r>
          </w:p>
        </w:tc>
      </w:tr>
      <w:tr>
        <w:tc>
          <w:tcPr>
            <w:tcW w:type="dxa" w:w="68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капитала</w:t>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капитала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(1.1 = 1.1.1 + 1.1.2 + 1.1.3 + 1.1.4 + 1.1.5)</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в том числе:</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приобретенные резидентами Кыргызской Республики</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приобретенные прямыми иностранными инвесторами-нерезидентами (доля каждого инвестора в капитале банка 10% и больше):</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1.1.1.2.а</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не участвующие привилегированные акции</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приобретенные другими иностранными инвесторами-нерезидентами (доля каждого инвестора в капитале банка менее 10%)</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приобретенные предприятием - прямого инвестирования (доля инвестора в капитале банка менее 10%)</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приобретенные сестринскими предприятиями (доля инвестора в капитале банка менее 10%)(1)</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внесенный сверх номинала</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резидентами Кыргызской Республики</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прямыми иностранными инвесторами-нерезидентами (доля каждого инвестора в капитале банка 10% и больше)</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1.1.2.2.а</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не участвующие привилегированные акции</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Другими иностранными инвесторами-нерезидентами (доля каждого инвестора в капитале банка менее 10%)</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Предприятием - прямого инвестирования - нерезидента (доля каждого инвестора в капитале банка менее 10%)</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приобретенные сестринскими предприятиями (доля инвестора в капитале банка менее 10%)</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(убыток)</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Дополнительный капитал, внесенный акционерами</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резидентами Кыргызской Республики</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прямыми иностранными инвесторами-нерезидентами (доля каждого инвестора в капитале банка 10% и больше)</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Другими иностранными инвесторами-нерезидентами (доля каждого инвестора в капитале банка менее 10%)</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Предприятием - прямого инвестирования - нерезидента (доля каждого инвестора в капитале банка менее 10%)</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Приобретенные сестринскими предприятиями (доля инвестора в капитале банка менее 10%)</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к  п.1.1.1.5:  Укажете  пожалуйста является ли конечная контролирующая материнская компания:</w:t>
      </w:r>
    </w:p>
    <w:p>
      <w:pPr>
        <w:spacing w:after="120"/>
        <w:jc w:val="both"/>
      </w:pPr>
      <w:r>
        <w:rPr>
          <w:rFonts w:ascii="Arial" w:cs="Arial" w:eastAsia="Arial" w:hAnsi="Arial"/>
          <w:sz w:val="24"/>
          <w:szCs w:val="24"/>
        </w:rPr>
        <w:t xml:space="preserve">Резидентом [ ]</w:t>
      </w:r>
    </w:p>
    <w:p>
      <w:pPr>
        <w:spacing w:after="120"/>
        <w:jc w:val="both"/>
      </w:pPr>
      <w:r>
        <w:rPr>
          <w:rFonts w:ascii="Arial" w:cs="Arial" w:eastAsia="Arial" w:hAnsi="Arial"/>
          <w:sz w:val="24"/>
          <w:szCs w:val="24"/>
        </w:rPr>
        <w:t xml:space="preserve">Нерезидентом [ ]</w:t>
      </w:r>
    </w:p>
    <w:p>
      <w:pPr>
        <w:spacing w:after="120"/>
        <w:jc w:val="both"/>
      </w:pPr>
      <w:r>
        <w:rPr>
          <w:rFonts w:ascii="Arial" w:cs="Arial" w:eastAsia="Arial" w:hAnsi="Arial"/>
          <w:sz w:val="24"/>
          <w:szCs w:val="24"/>
        </w:rPr>
        <w:t xml:space="preserve">Неизвестно [ ]</w:t>
      </w:r>
    </w:p>
    <w:p>
      <w:pPr>
        <w:spacing w:after="120"/>
        <w:jc w:val="center"/>
      </w:pPr>
      <w:r>
        <w:rPr>
          <w:rFonts w:ascii="Arial" w:cs="Arial" w:eastAsia="Arial" w:hAnsi="Arial"/>
          <w:sz w:val="24"/>
          <w:szCs w:val="24"/>
        </w:rPr>
        <w:t xml:space="preserve">2. Распределение дивидендов акционерам банка
 (заполняется банком с участием иностранного Капитала)</w:t>
      </w:r>
    </w:p>
    <w:p>
      <w:pPr>
        <w:spacing w:after="120"/>
        <w:ind w:firstLine="708"/>
        <w:jc w:val="both"/>
      </w:pPr>
      <w:r>
        <w:rPr>
          <w:rFonts w:ascii="Arial" w:cs="Arial" w:eastAsia="Arial" w:hAnsi="Arial"/>
          <w:sz w:val="24"/>
          <w:szCs w:val="24"/>
        </w:rPr>
        <w:t xml:space="preserve">в номинале валют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1"/>
        <w:gridCol w:w="8670"/>
        <w:gridCol w:w="757"/>
      </w:tblGrid>
      <w:tr>
        <w:tc>
          <w:tcPr>
            <w:tcW w:type="dxa" w:w="7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86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7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распределенные в течение года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8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резидентам Кыргызской Республики</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8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прямым иностранным инвесторам-нерезидентам (доля каждого инвестора в капитале банка 10% и больше):</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2.1.2.а</w:t>
            </w:r>
          </w:p>
        </w:tc>
        <w:tc>
          <w:tcPr>
            <w:tcW w:type="dxa" w:w="8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по не участвующим привилегированным акциям</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8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Другим иностранным инвесторам-нерезидентам (доля каждого инвестора в капитале банка менее 10%) портфельные инвестиции</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8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Предприятиям прямого инвестирования - нерезидентам (доля каждого инвестора в капитале банка менее 10%)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8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Сестринским предприятиями (доля инвестора в капитале банка менее 10%)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Информация об участии банка в капитале иностранного предприятия
 (заполняется банками имеющие долю в иностранном предприятии)</w:t>
      </w:r>
    </w:p>
    <w:p>
      <w:pPr>
        <w:spacing w:after="120"/>
        <w:ind w:firstLine="708"/>
        <w:jc w:val="both"/>
      </w:pPr>
      <w:r>
        <w:rPr>
          <w:rFonts w:ascii="Arial" w:cs="Arial" w:eastAsia="Arial" w:hAnsi="Arial"/>
          <w:sz w:val="24"/>
          <w:szCs w:val="24"/>
        </w:rPr>
        <w:t xml:space="preserve">в номинале валют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6"/>
        <w:gridCol w:w="3448"/>
        <w:gridCol w:w="881"/>
        <w:gridCol w:w="1200"/>
        <w:gridCol w:w="1200"/>
        <w:gridCol w:w="1293"/>
        <w:gridCol w:w="1380"/>
      </w:tblGrid>
      <w:tr>
        <w:tc>
          <w:tcPr>
            <w:tcW w:type="dxa" w:w="77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на нач. периода</w:t>
            </w:r>
          </w:p>
        </w:tc>
        <w:tc>
          <w:tcPr>
            <w:tcW w:type="dxa" w:w="240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операций</w:t>
            </w:r>
          </w:p>
        </w:tc>
        <w:tc>
          <w:tcPr>
            <w:tcW w:type="dxa" w:w="12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изменения (+/-)</w:t>
            </w:r>
          </w:p>
        </w:tc>
        <w:tc>
          <w:tcPr>
            <w:tcW w:type="dxa" w:w="13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на кон. периода</w:t>
            </w:r>
          </w:p>
        </w:tc>
      </w:tr>
      <w:tr>
        <w:tc>
          <w:tcPr>
            <w:tcW w:type="dxa" w:w="77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капитала</w:t>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капитала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в том числе:</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предприятий прямого инвестирования (доля в капитале иностранного предприятия 10% и больше):</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наименованиям предприятия с указанием доли участия (в процентах):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3.1.1.а</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привилегированные акции</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наименованиям предприятия с указанием доли участия (в процентах):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прочих иностранных предприятий-нерезидентов (доля в капитале предприятия менее 10%)</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наименованиям предприятия с указанием доли участия (в процентах):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в предприятии прямого инвестора (материнской компании) (доля в капитале прямого инвестора менее 10%):</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наименованиям предприятия с указанием доли участия (в процентах):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сестринского предприятия (доля в капитале менее 10%):</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наименованиям предприятия с указанием доли участия (в процентах):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Дополнительный капитал, оплаченный банком</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предприятие прямого инвестирования (доля в капитале предприятия 10% и больше)</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наименованиям предприятия с указанием доли участия (в процентах):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3.2.1.а</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привилегированные акции</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наименованиям предприятия с указанием доли участия (в процентах):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прочих иностранных предприятий-нерезидентов (доля в капитале предприятия менее 10%)</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наименованиям предприятия с указанием доли участия (в процентах):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3.2.3</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предприятии прямого инвестора (материнской компании) (доля в капитале прямого инвестора менее 10%):</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наименованиям предприятия с указанием доли участия (в процентах):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сестринских предприятий (доля в капитале менее 10%):</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наименованиям предприятия с указанием доли участия (в процентах):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(убыток) предприятий прямого инвестирования</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наименованиям предприятия с указанием доли участия (в процентах):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инструменты участия в капитале предприятий-нерезидентов</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наименованиям предприятия с указанием доли участия (в процентах):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Распределенные дивиденды предприятий-нерезидентов банку
 (заполняется банком имеющее участие в капитале иностранного предприятия)</w:t>
      </w:r>
    </w:p>
    <w:p>
      <w:pPr>
        <w:spacing w:after="120"/>
        <w:ind w:firstLine="708"/>
        <w:jc w:val="both"/>
      </w:pPr>
      <w:r>
        <w:rPr>
          <w:rFonts w:ascii="Arial" w:cs="Arial" w:eastAsia="Arial" w:hAnsi="Arial"/>
          <w:sz w:val="24"/>
          <w:szCs w:val="24"/>
        </w:rPr>
        <w:t xml:space="preserve">в номинале валют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6"/>
        <w:gridCol w:w="8362"/>
        <w:gridCol w:w="999"/>
      </w:tblGrid>
      <w:tr>
        <w:tc>
          <w:tcPr>
            <w:tcW w:type="dxa" w:w="8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83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9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8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дивиденды, полученные в течение года</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8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акциям предприятий прямого инвестирования (доля в капитале предприятия 10% и больше)</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предприятия с указанием доли участия (в процентах):</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4.1.1.а</w:t>
            </w:r>
          </w:p>
        </w:tc>
        <w:tc>
          <w:tcPr>
            <w:tcW w:type="dxa" w:w="8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по привилегированным акциям</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предприятия с указанием доли участия (в процентах):</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w:t>
            </w:r>
          </w:p>
        </w:tc>
        <w:tc>
          <w:tcPr>
            <w:tcW w:type="dxa" w:w="8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акциям прочих иностранных предприятий (доля в капитале предприятия менее 10%)</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предприятия с указанием доли участия (в процентах):</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4.1.3</w:t>
            </w:r>
          </w:p>
        </w:tc>
        <w:tc>
          <w:tcPr>
            <w:tcW w:type="dxa" w:w="8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акциям предприятия прямого инвестора (материнских компаний) (доля в капитале прямого инвестора менее 10%):</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предприятия с указанием доли участия (в процентах):</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4.1.4</w:t>
            </w:r>
          </w:p>
        </w:tc>
        <w:tc>
          <w:tcPr>
            <w:tcW w:type="dxa" w:w="8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акциям сестринских предприятий (доля в капитале менее 10%):</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предприятия с указанием доли участия (в процентах):</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Движение иностранных активов банка</w:t>
      </w:r>
    </w:p>
    <w:p>
      <w:pPr>
        <w:spacing w:after="120"/>
        <w:ind w:firstLine="708"/>
        <w:jc w:val="center"/>
      </w:pPr>
      <w:r>
        <w:rPr>
          <w:rFonts w:ascii="Arial" w:cs="Arial" w:eastAsia="Arial" w:hAnsi="Arial"/>
          <w:sz w:val="24"/>
          <w:szCs w:val="24"/>
        </w:rPr>
        <w:t xml:space="preserve">в номинале валют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5"/>
        <w:gridCol w:w="2909"/>
        <w:gridCol w:w="1181"/>
        <w:gridCol w:w="1227"/>
        <w:gridCol w:w="1227"/>
        <w:gridCol w:w="1724"/>
        <w:gridCol w:w="1274"/>
      </w:tblGrid>
      <w:tr>
        <w:tc>
          <w:tcPr>
            <w:tcW w:type="dxa" w:w="63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на нач. периода</w:t>
            </w:r>
          </w:p>
        </w:tc>
        <w:tc>
          <w:tcPr>
            <w:tcW w:type="dxa" w:w="245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операций</w:t>
            </w:r>
          </w:p>
        </w:tc>
        <w:tc>
          <w:tcPr>
            <w:tcW w:type="dxa" w:w="17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изменения (+/-)</w:t>
            </w:r>
          </w:p>
        </w:tc>
        <w:tc>
          <w:tcPr>
            <w:tcW w:type="dxa" w:w="12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на кон. периода</w:t>
            </w:r>
          </w:p>
        </w:tc>
      </w:tr>
      <w:tr>
        <w:tc>
          <w:tcPr>
            <w:tcW w:type="dxa" w:w="6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активов (выдано в теч. периода)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активов (погашено в теч. периода)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предоставленные банком нерезидентам</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выданные прямым иностранным инвесторам (обратное инвестирование)</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выданные предприятию прямого инвестирования</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5.1.2.1</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предприятия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5.1.2.2</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предприятия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выданные сестринскому предприятию</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5.1.3.1</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5.1.3.2</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банкам и др. фин. кредитным учреждениям</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5.1.4.1</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банкам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5.1.4.2</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банкам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прочим юридическим и физическим лицам</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5.1.5.1</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5.1.5.2</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Иностранные ценные бумаги</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облигации и другие долговые обязательства</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5.2.1.1</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5.2.1.2</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денежного рынка</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5.2.2.1</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5.2.2.2</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производные или вторичные финансовые инструменты</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в банках, кроме корсчетов</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банкам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5.3.2</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банкам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Корреспондентские счета-ностро</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банкам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5.4.а</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Нейтральные операции</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банкам и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Банкноты и монеты в оборотной кассе</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Банкноты и монеты в пути</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активы в расчетах</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видам валют:</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6. Доходы, полученные по зарубежным активам</w:t>
      </w:r>
    </w:p>
    <w:p>
      <w:pPr>
        <w:spacing w:after="120"/>
        <w:jc w:val="center"/>
      </w:pPr>
      <w:r>
        <w:rPr>
          <w:rFonts w:ascii="Arial" w:cs="Arial" w:eastAsia="Arial" w:hAnsi="Arial"/>
          <w:sz w:val="24"/>
          <w:szCs w:val="24"/>
        </w:rPr>
        <w:t xml:space="preserve">в номинале валют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6"/>
        <w:gridCol w:w="2400"/>
        <w:gridCol w:w="1667"/>
        <w:gridCol w:w="1368"/>
        <w:gridCol w:w="1291"/>
        <w:gridCol w:w="1228"/>
        <w:gridCol w:w="1667"/>
      </w:tblGrid>
      <w:tr>
        <w:tc>
          <w:tcPr>
            <w:tcW w:type="dxa" w:w="55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начислено, но не получено на нач. периода</w:t>
            </w:r>
          </w:p>
        </w:tc>
        <w:tc>
          <w:tcPr>
            <w:tcW w:type="dxa" w:w="13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начислено в течение периода</w:t>
            </w:r>
          </w:p>
        </w:tc>
        <w:tc>
          <w:tcPr>
            <w:tcW w:type="dxa" w:w="12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получено в течение периода</w:t>
            </w:r>
          </w:p>
        </w:tc>
        <w:tc>
          <w:tcPr>
            <w:tcW w:type="dxa" w:w="12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изменения (+/-)</w:t>
            </w:r>
          </w:p>
        </w:tc>
        <w:tc>
          <w:tcPr>
            <w:tcW w:type="dxa" w:w="16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начислено, но не получено на кон. периода</w:t>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Процентный доход по выданным кредитам</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выданным кредитам прямым иностранным инвесторам</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выданным кредитам предприятию прямого инвестирования</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выданным кредитам сестринским предприятиям</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выданным кредитам банкам и др. фин. кредитным учреждениям</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выданным кредитам прочим юридическим и физическим лицам</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 иностранным ценным бумагам</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Процентный доход по размешенным депозитам</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банкам и видам валют:</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Процентный доход по размещенным корсчетам</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банкам и видам валют:</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по иностранным активам</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7. Движение иностранных обязательств коммерческого банка</w:t>
      </w:r>
    </w:p>
    <w:p>
      <w:pPr>
        <w:spacing w:after="120"/>
        <w:jc w:val="both"/>
      </w:pPr>
      <w:r>
        <w:rPr>
          <w:rFonts w:ascii="Arial" w:cs="Arial" w:eastAsia="Arial" w:hAnsi="Arial"/>
          <w:sz w:val="24"/>
          <w:szCs w:val="24"/>
        </w:rPr>
        <w:t xml:space="preserve">в номинале валют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6"/>
        <w:gridCol w:w="2604"/>
        <w:gridCol w:w="1252"/>
        <w:gridCol w:w="1601"/>
        <w:gridCol w:w="1601"/>
        <w:gridCol w:w="1173"/>
        <w:gridCol w:w="1252"/>
      </w:tblGrid>
      <w:tr>
        <w:tc>
          <w:tcPr>
            <w:tcW w:type="dxa" w:w="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5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на нач. периода</w:t>
            </w:r>
          </w:p>
        </w:tc>
        <w:tc>
          <w:tcPr>
            <w:tcW w:type="dxa" w:w="320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операций</w:t>
            </w:r>
          </w:p>
        </w:tc>
        <w:tc>
          <w:tcPr>
            <w:tcW w:type="dxa" w:w="11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изменения (+/-)</w:t>
            </w:r>
          </w:p>
        </w:tc>
        <w:tc>
          <w:tcPr>
            <w:tcW w:type="dxa" w:w="125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на кон. периода</w:t>
            </w:r>
          </w:p>
        </w:tc>
      </w:tr>
      <w:tr>
        <w:tc>
          <w:tcPr>
            <w:tcW w:type="dxa" w:w="69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обязат-в (получено в теч. периода)</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обязат-в (погашено в теч. периода)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полученные от нерезидентов</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прямых иностранных инвесторов-нерезидентов</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7.1.1.1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7.1.1.2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предприятия прямого инвестирования - нерезидента</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7.1.2.1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7.1.2.2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7.1.3</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сестринского предприятия</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7.1.2.1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7.1.2.2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банков и других фин. кредитных учреждений</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7.1.4.1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банкам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7.1.4.2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банкам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прочих юридических и физических лиц</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7.1.5.1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7.1.5.2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Выпущенные ценные бумаги</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облигации и другие долговые обязательства выпущенные</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7.2.1.1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7.2.1.2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денежного рынка</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7.2.3</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производные или вторичные финансовые инструменты</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нерезидентов</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банков и др. фин. кредитных учреждений, кроме корсчетов</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7.3.1.1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банкам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7.3.1.2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банкам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нерезидентов (юридических и физических лиц), кроме расчетных счетов</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7.3.2.1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(до 1 года)</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7.3.2.2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(1 год и более)</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Корреспондентские счета-лоро</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банкам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Расчетные счета нерезидентов (физических и юридических лиц)</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8. Расходы по иностранным обязательствам</w:t>
      </w:r>
    </w:p>
    <w:p>
      <w:pPr>
        <w:spacing w:after="120"/>
        <w:jc w:val="both"/>
      </w:pPr>
      <w:r>
        <w:rPr>
          <w:rFonts w:ascii="Arial" w:cs="Arial" w:eastAsia="Arial" w:hAnsi="Arial"/>
          <w:sz w:val="24"/>
          <w:szCs w:val="24"/>
        </w:rPr>
        <w:t xml:space="preserve">в номинале валют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6"/>
        <w:gridCol w:w="2282"/>
        <w:gridCol w:w="1633"/>
        <w:gridCol w:w="1370"/>
        <w:gridCol w:w="1421"/>
        <w:gridCol w:w="1284"/>
        <w:gridCol w:w="1633"/>
      </w:tblGrid>
      <w:tr>
        <w:tc>
          <w:tcPr>
            <w:tcW w:type="dxa" w:w="55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начислено, но не оплачено на нач. периода</w:t>
            </w:r>
          </w:p>
        </w:tc>
        <w:tc>
          <w:tcPr>
            <w:tcW w:type="dxa" w:w="13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начислено в течение периода</w:t>
            </w:r>
          </w:p>
        </w:tc>
        <w:tc>
          <w:tcPr>
            <w:tcW w:type="dxa" w:w="14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выплачено в течение периода</w:t>
            </w:r>
          </w:p>
        </w:tc>
        <w:tc>
          <w:tcPr>
            <w:tcW w:type="dxa" w:w="12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изменения (+/-)</w:t>
            </w:r>
          </w:p>
        </w:tc>
        <w:tc>
          <w:tcPr>
            <w:tcW w:type="dxa" w:w="16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начислено, но не оплачено на кон. периода</w:t>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полученным кредитам</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w:t>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полученным кредитам от прямых иностранных инвесторов</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w:t>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полученным кредитам от предприятий прямого инвестирования</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8.1.3</w:t>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полученным кредитам от сестринских предприятий</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8.1.4</w:t>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полученным кредитам от банков и др. фин. кредитных учреждений</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8.1.5</w:t>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выданным кредитам от прочих юридических и физических лиц</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выпущенным ценным бумагам</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корсчетам банков - нерезидентов</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банка и видам валют:</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наименованию партнера и видам валют:</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 иностранным обязательствам</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странам и видам валют:</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 к п. 7.1-7.1.5.2: В случае получения кредитов от нерезидентов необходимо заполнить следующие таблицы: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Выплаты основной суммы (прогноз)</w:t>
      </w:r>
    </w:p>
    <w:p>
      <w:pPr>
        <w:spacing w:after="120"/>
        <w:jc w:val="both"/>
      </w:pPr>
      <w:r>
        <w:rPr>
          <w:rFonts w:ascii="Arial" w:cs="Arial" w:eastAsia="Arial" w:hAnsi="Arial"/>
          <w:sz w:val="24"/>
          <w:szCs w:val="24"/>
        </w:rPr>
        <w:t xml:space="preserve">в номинале валют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7"/>
        <w:gridCol w:w="1055"/>
        <w:gridCol w:w="766"/>
        <w:gridCol w:w="766"/>
        <w:gridCol w:w="766"/>
        <w:gridCol w:w="766"/>
        <w:gridCol w:w="766"/>
        <w:gridCol w:w="766"/>
        <w:gridCol w:w="766"/>
        <w:gridCol w:w="766"/>
        <w:gridCol w:w="766"/>
        <w:gridCol w:w="607"/>
      </w:tblGrid>
      <w:tr>
        <w:tc>
          <w:tcPr>
            <w:tcW w:type="dxa" w:w="16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кредита</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 4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 1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 2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 3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 4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1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2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3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4 кв.</w:t>
            </w:r>
          </w:p>
        </w:tc>
        <w:tc>
          <w:tcPr>
            <w:tcW w:type="dxa" w:w="6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tcW w:type="dxa" w:w="1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партнера</w:t>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Выплаты процентов (прогноз)</w:t>
      </w:r>
    </w:p>
    <w:p>
      <w:pPr>
        <w:spacing w:after="120"/>
        <w:jc w:val="both"/>
      </w:pPr>
      <w:r>
        <w:rPr>
          <w:rFonts w:ascii="Arial" w:cs="Arial" w:eastAsia="Arial" w:hAnsi="Arial"/>
          <w:sz w:val="24"/>
          <w:szCs w:val="24"/>
        </w:rPr>
        <w:t xml:space="preserve">в номинале валют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7"/>
        <w:gridCol w:w="1055"/>
        <w:gridCol w:w="766"/>
        <w:gridCol w:w="766"/>
        <w:gridCol w:w="766"/>
        <w:gridCol w:w="766"/>
        <w:gridCol w:w="766"/>
        <w:gridCol w:w="766"/>
        <w:gridCol w:w="766"/>
        <w:gridCol w:w="766"/>
        <w:gridCol w:w="766"/>
        <w:gridCol w:w="607"/>
      </w:tblGrid>
      <w:tr>
        <w:tc>
          <w:tcPr>
            <w:tcW w:type="dxa" w:w="16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кредита</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 4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 1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 2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 3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 4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1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2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3 кв.</w:t>
            </w:r>
          </w:p>
        </w:tc>
        <w:tc>
          <w:tcPr>
            <w:tcW w:type="dxa" w:w="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4 кв.</w:t>
            </w:r>
          </w:p>
        </w:tc>
        <w:tc>
          <w:tcPr>
            <w:tcW w:type="dxa" w:w="6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tcW w:type="dxa" w:w="1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партнера</w:t>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gsylmitqmirit3ofhxzo">
      <w:r>
        <w:rPr>
          <w:rFonts w:ascii="Arial" w:cs="Arial" w:eastAsia="Arial" w:hAnsi="Arial"/>
          <w:color w:val="132D3F"/>
          <w:sz w:val="16"/>
          <w:szCs w:val="16"/>
          <w:u w:val="single"/>
        </w:rPr>
        <w:t xml:space="preserve">dalil.kg/document/302916</w:t>
      </w:r>
    </w:hyperlink>
  </w:p>
  <w:p>
    <w:pPr>
      <w:spacing w:after="0" w:before="40"/>
      <w:jc w:val="center"/>
    </w:pPr>
    <w:hyperlink w:history="1" r:id="rIdixjueyuykvskojbox6jo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umpcbcvfjctoookd_yed" Type="http://schemas.openxmlformats.org/officeDocument/2006/relationships/hyperlink" Target="https://dalil.kg/document/302915" TargetMode="External"/><Relationship Id="rIdio31kte0ygwfrcyqvtcqg" Type="http://schemas.openxmlformats.org/officeDocument/2006/relationships/hyperlink" Target="https://dalil.kg/document/302916#p1" TargetMode="External"/><Relationship Id="rIdjtfieama2vzpnnpvvcmgo" Type="http://schemas.openxmlformats.org/officeDocument/2006/relationships/hyperlink" Target="https://dalil.kg/document/30291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gsylmitqmirit3ofhxzo" Type="http://schemas.openxmlformats.org/officeDocument/2006/relationships/hyperlink" Target="https://dalil.kg/document/302916" TargetMode="External"/><Relationship Id="rIdixjueyuykvskojbox6jo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2026-09-25T04:21:46.621Z</dcterms:created>
  <dcterms:modified xsi:type="dcterms:W3CDTF">2026-09-25T04:21:46.621Z</dcterms:modified>
</cp:coreProperties>
</file>

<file path=docProps/custom.xml><?xml version="1.0" encoding="utf-8"?>
<Properties xmlns="http://schemas.openxmlformats.org/officeDocument/2006/custom-properties" xmlns:vt="http://schemas.openxmlformats.org/officeDocument/2006/docPropsVTypes"/>
</file>