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2014 года № 9/5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Правления Национального банка Кыргызской Республики «Об утверждении Положения «О 7-дневном кредите Национального банка Кыргызской Республики» от 29 января 2014 года №2/5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5, 7 и 28 </w:t>
      </w:r>
      <w:hyperlink w:history="1" r:id="rIdp4v5-5jaiozzbxf_6u2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банке Кыргызской Республики»,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_8izcgefk_bwpah7x3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«Об утверждении </w:t>
      </w:r>
      <w:hyperlink w:history="1" r:id="rId7thgei9jukc-hakul2y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 7-дневном кредите Национального банка Кыргызской Республики» от 29 января 2014 года №2/5 изменения и дополнения (</w:t>
      </w:r>
      <w:hyperlink w:history="1" r:id="rIdrpyf4k7bommz7plhdx4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прилагаются</w:t>
        </w:r>
      </w:hyperlink>
      <w:r>
        <w:rPr>
          <w:rFonts w:ascii="Arial" w:cs="Arial" w:eastAsia="Arial" w:hAnsi="Arial"/>
          <w:sz w:val="24"/>
          <w:szCs w:val="24"/>
        </w:rPr>
        <w:t xml:space="preserve">).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15 дней со дня официального опубликования.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денежно-кредитных операций довести настоящее постановление до сведения коммерческих банков, соответствующих структурных подразделений Национального банка Кыргызской Республики, областных управлений и представительства Национального банка Кыргызской Республики в Баткенской области.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Жеенбаеву Б.Ж.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Председателя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З.Л. Чокоев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 </w:t>
      </w:r>
      <w:r>
        <w:rPr>
          <w:rFonts w:ascii="Arial" w:cs="Arial" w:eastAsia="Arial" w:hAnsi="Arial"/>
          <w:sz w:val="24"/>
          <w:szCs w:val="24"/>
        </w:rPr>
        <w:t xml:space="preserve">в постановление Правления Национального банка Кыргызской Республики </w:t>
      </w:r>
      <w:r>
        <w:rPr>
          <w:rFonts w:ascii="Arial" w:cs="Arial" w:eastAsia="Arial" w:hAnsi="Arial"/>
          <w:sz w:val="24"/>
          <w:szCs w:val="24"/>
        </w:rPr>
        <w:t xml:space="preserve">«Об утверждении Положения «О 7-дневном кредите Национального банка 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Республики» от 29 января 2014 года №2/5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-dmqulzv5fp7xiuitd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ppdii1qxvufs5j8a0lp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7-дневном кредите Национального банка Кыргызской Республики" от 29 января 2014 года № 2/5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023vodf8qupgc8liwi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7-дневном кредите Национального банка Кыргызской Республики", утвержденном вышеуказанным </w:t>
      </w:r>
      <w:hyperlink w:history="1" r:id="rIdha6qtmvf8ngbm3a5-e_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второе и третье предложения изложить в следующей редакции: "Предметом залога выступают государственные ценные бумаги Кыргызской Республики (ГЦБ). Требования к объему достаточности (в процентном выражении), виду и другим параметрам залогового обеспечения в виде ГЦБ устанавливаются КДКР.";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47t-elqfufkjqcxkkb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III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"13-1. Банк не вправе использовать кредитные ресурсы, полученные от Национального банка, для проведения операций на валютном рынке и рынке ценных бумаг, включая рынок государственных ценных бумаг. Банк должен использовать полученные кредитные ресурсы Национального банка исключительно на цели, оговоренные в пункте 3 настоящего Положения.";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2 </w:t>
      </w:r>
      <w:hyperlink w:history="1" r:id="rIdagtk6wk9v-rzu9kt7zp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 дополнить пунктом 2.5-1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"2.5-1. Банк не вправе использовать кредитные ресурсы, полученные от Национального банка, для проведения операций на валютном рынке и рынке ценных бумаг, включая рынок государственных ценных бумаг. Банк должен использовать полученные кредитные ресурсы Национального банка исключительно на цели, оговоренные в пункте 3 Положения.".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wluexuji8rznkjofm29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dalil.kg/document/302928</w:t>
      </w:r>
    </w:hyperlink>
  </w:p>
  <w:p>
    <w:pPr>
      <w:spacing w:after="0" w:before="40"/>
      <w:jc w:val="center"/>
    </w:pPr>
    <w:hyperlink w:history="1" r:id="rIdwowbqaiogwcl5rtcl6j3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4v5-5jaiozzbxf_6u2ch" Type="http://schemas.openxmlformats.org/officeDocument/2006/relationships/hyperlink" Target="https://dalil.kg/document/559" TargetMode="External"/><Relationship Id="rId7_8izcgefk_bwpah7x3gr" Type="http://schemas.openxmlformats.org/officeDocument/2006/relationships/hyperlink" Target="https://dalil.kg/document/302918" TargetMode="External"/><Relationship Id="rId7thgei9jukc-hakul2ydw" Type="http://schemas.openxmlformats.org/officeDocument/2006/relationships/hyperlink" Target="https://dalil.kg/document/302919" TargetMode="External"/><Relationship Id="rIdrpyf4k7bommz7plhdx4t0" Type="http://schemas.openxmlformats.org/officeDocument/2006/relationships/hyperlink" Target="https://dalil.kg/document/302928#p1" TargetMode="External"/><Relationship Id="rIdq-dmqulzv5fp7xiuitdpl" Type="http://schemas.openxmlformats.org/officeDocument/2006/relationships/hyperlink" Target="https://dalil.kg/document/302918" TargetMode="External"/><Relationship Id="rIdppdii1qxvufs5j8a0lplz" Type="http://schemas.openxmlformats.org/officeDocument/2006/relationships/hyperlink" Target="https://dalil.kg/document/302919" TargetMode="External"/><Relationship Id="rIdq023vodf8qupgc8liwiqj" Type="http://schemas.openxmlformats.org/officeDocument/2006/relationships/hyperlink" Target="https://dalil.kg/document/302919" TargetMode="External"/><Relationship Id="rIdha6qtmvf8ngbm3a5-e_nt" Type="http://schemas.openxmlformats.org/officeDocument/2006/relationships/hyperlink" Target="https://dalil.kg/document/302918" TargetMode="External"/><Relationship Id="rIde47t-elqfufkjqcxkkbqi" Type="http://schemas.openxmlformats.org/officeDocument/2006/relationships/hyperlink" Target="https://dalil.kg/document/302919#pg3" TargetMode="External"/><Relationship Id="rIdagtk6wk9v-rzu9kt7zppa" Type="http://schemas.openxmlformats.org/officeDocument/2006/relationships/hyperlink" Target="https://dalil.kg/document/302919#p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wluexuji8rznkjofm29u" Type="http://schemas.openxmlformats.org/officeDocument/2006/relationships/hyperlink" Target="https://dalil.kg/document/302928" TargetMode="External"/><Relationship Id="rIdwowbqaiogwcl5rtcl6j3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2026-09-25T05:41:52.995Z</dcterms:created>
  <dcterms:modified xsi:type="dcterms:W3CDTF">2026-09-25T05:41:52.995Z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