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32/6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
 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gujmry2al3m8dzgga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dgvlurb5j3uzisijdf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nzin-t6bg-e_p_mi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rp6eoxv-zix7yjbsg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 51/4;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ifayj2b0czlithmgit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 Кыргызской Республики "О </w:t>
      </w:r>
      <w:hyperlink w:history="1" r:id="rIdbysg-qdrbwfkjwaljis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после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З. Чокоева.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некоторые нормативные правовые акты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uwk1_0sg5ztfzdxs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8nrgf4y5vvtv7a5vyy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финансирования" от 28 декабря 2009 года №51/4 следующие изменения: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-pwiyuzc2m5aktpqp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w:history="1" r:id="rIdawhv1qj21sji6ihbnv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части "Категория 4 (степень кредитного риска - 50%) пункта 24 слова "активы, размещенные в соответствии с исламскими принципами банковского дела и финансирования" заменить словами "финансирование, предоставленное физическим лицам";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части "Категория 5" (степень кредитного риска - 100%) пункта 24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"в) требования к частному сектору (активы, размещенные в соответствии с исламскими принципами банковского дела и финансирования):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активы, размещенные по договорам мудараба, мушарака. При этом, в качестве обеспечения по таким договорам выступает залог - недвижимое и движимое имущество, который должен быть реализуемым в сроки, установленные нормативными правовыми актами Национального банка Кыргызской Республики. Стоимость залога при его реализации должна быть достаточной для выплаты банку основной суммы финансирования и возможных издержек, связанных с реализацией залога.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залога подтверждается заключением независимого оценщика в соответствии со стандартами оценки имущества, обязательными к применению всеми субъектами оценочной деятельности в Кыргызской Республике, утвержденными постановлением Правительства Кыргызской Республики от 3 апреля 2006 года № 217. Независимая оценка залогового имущества на ежегодной основе является обязательным требованием для отнесения актива к данной категории. В случае снижения стоимости обеспечения, ухудшения его качества, что может привести к трудностям при реализации залога, активы, размещенные по договорам мудараба, мушарака указываются в категории 6 со степенью риска 400%. Исходя из практики осуществления банком операций по договорам мудабара, мушарака, Национальным банком могут устанавливаться дополнительные требования и ограничения к проведению банком данных операций, в том числе к залоговому обеспечению.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активы, размещенные в соответствии с исламскими принципами банковского дела и финансирования, за исключением, указанных в категориях 3, 4 и 6.";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"Категория 6 (степень кредитного риска - 400%) пункта 24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"Категория 6 (степень кредитного риска - 400%): активы, размещенные по договорам мудараба, мушарака, за исключением активов, указанных в категориях 1-5.".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q106z7shlierv-yyli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Национального банка Кыргызской Республики "О </w:t>
      </w:r>
      <w:hyperlink w:history="1" r:id="rIdz6zdheji7hlfu6xdpd8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 следующие изменения: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t9sx_uj2uje2t2f0hv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утвержденном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"а" пункта 12 </w:t>
      </w:r>
      <w:hyperlink w:history="1" r:id="rIdbqodsvhf7-puqvoibm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2.1</w:t>
        </w:r>
      </w:hyperlink>
      <w:r>
        <w:rPr>
          <w:rFonts w:ascii="Arial" w:cs="Arial" w:eastAsia="Arial" w:hAnsi="Arial"/>
          <w:sz w:val="24"/>
          <w:szCs w:val="24"/>
        </w:rPr>
        <w:t xml:space="preserve">. слова "кредитам со степенью риска 100%" заменить словами "активам со степенью риска в соответствии с Инструкцией по определению стандартов адекватности капитала банков, осуществляющих операции в соответствии с исламскими принципами банковского дела и финансирования, утвержденной постановлением Правления Национального банка Кыргызской Республики от 28 декабря 2009 года № 51/4 (далее - Инструкция по определению стандартов адекватности капитала).";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35 </w:t>
      </w:r>
      <w:hyperlink w:history="1" r:id="rIdv2la4rbuibhxmirw4g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2.2</w:t>
        </w:r>
      </w:hyperlink>
      <w:r>
        <w:rPr>
          <w:rFonts w:ascii="Arial" w:cs="Arial" w:eastAsia="Arial" w:hAnsi="Arial"/>
          <w:sz w:val="24"/>
          <w:szCs w:val="24"/>
        </w:rPr>
        <w:t xml:space="preserve">. изложить в следующей редакции: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расчете коэффициента адекватности капитала активы, размещенные по сделке Шарика, приравниваются к активам со степенью риска в соответствии с Инструкцией по определению стандартов адекватности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uayp1zs0q6uh9pp-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dalil.kg/document/302954</w:t>
      </w:r>
    </w:hyperlink>
  </w:p>
  <w:p>
    <w:pPr>
      <w:spacing w:after="0" w:before="40"/>
      <w:jc w:val="center"/>
    </w:pPr>
    <w:hyperlink w:history="1" r:id="rIdid0fj1da5l9ed7ygmd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ujmry2al3m8dzggamwg" Type="http://schemas.openxmlformats.org/officeDocument/2006/relationships/hyperlink" Target="https://dalil.kg/document/559" TargetMode="External"/><Relationship Id="rIddgvlurb5j3uzisijdfb0e" Type="http://schemas.openxmlformats.org/officeDocument/2006/relationships/hyperlink" Target="https://dalil.kg/document/302954#p1" TargetMode="External"/><Relationship Id="rIdbvnzin-t6bg-e_p_mitiy" Type="http://schemas.openxmlformats.org/officeDocument/2006/relationships/hyperlink" Target="https://dalil.kg/document/301267" TargetMode="External"/><Relationship Id="rIdirp6eoxv-zix7yjbsgk7q" Type="http://schemas.openxmlformats.org/officeDocument/2006/relationships/hyperlink" Target="https://dalil.kg/document/302285" TargetMode="External"/><Relationship Id="rId8ifayj2b0czlithmgit8n" Type="http://schemas.openxmlformats.org/officeDocument/2006/relationships/hyperlink" Target="https://dalil.kg/document/300539" TargetMode="External"/><Relationship Id="rIdbysg-qdrbwfkjwaljis_q" Type="http://schemas.openxmlformats.org/officeDocument/2006/relationships/hyperlink" Target="https://dalil.kg/document/300540" TargetMode="External"/><Relationship Id="rIdjvuwk1_0sg5ztfzdxsfr8" Type="http://schemas.openxmlformats.org/officeDocument/2006/relationships/hyperlink" Target="https://dalil.kg/document/301267" TargetMode="External"/><Relationship Id="rIda8nrgf4y5vvtv7a5vyyjm" Type="http://schemas.openxmlformats.org/officeDocument/2006/relationships/hyperlink" Target="https://dalil.kg/document/302285" TargetMode="External"/><Relationship Id="rIdb-pwiyuzc2m5aktpqpxuk" Type="http://schemas.openxmlformats.org/officeDocument/2006/relationships/hyperlink" Target="https://dalil.kg/document/302285" TargetMode="External"/><Relationship Id="rIdawhv1qj21sji6ihbnvxkx" Type="http://schemas.openxmlformats.org/officeDocument/2006/relationships/hyperlink" Target="https://dalil.kg/document/301267" TargetMode="External"/><Relationship Id="rId8q106z7shlierv-yyliwi" Type="http://schemas.openxmlformats.org/officeDocument/2006/relationships/hyperlink" Target="https://dalil.kg/document/300539" TargetMode="External"/><Relationship Id="rIdz6zdheji7hlfu6xdpd8xz" Type="http://schemas.openxmlformats.org/officeDocument/2006/relationships/hyperlink" Target="https://dalil.kg/document/300540" TargetMode="External"/><Relationship Id="rIdot9sx_uj2uje2t2f0hvke" Type="http://schemas.openxmlformats.org/officeDocument/2006/relationships/hyperlink" Target="https://dalil.kg/document/300540" TargetMode="External"/><Relationship Id="rIdbqodsvhf7-puqvoibm1hn" Type="http://schemas.openxmlformats.org/officeDocument/2006/relationships/hyperlink" Target="https://dalil.kg/document/300540#g2p1" TargetMode="External"/><Relationship Id="rIdv2la4rbuibhxmirw4giiu" Type="http://schemas.openxmlformats.org/officeDocument/2006/relationships/hyperlink" Target="https://dalil.kg/document/300540#g2p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uayp1zs0q6uh9pp-nnq" Type="http://schemas.openxmlformats.org/officeDocument/2006/relationships/hyperlink" Target="https://dalil.kg/document/302954" TargetMode="External"/><Relationship Id="rIdid0fj1da5l9ed7ygmdz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2026-09-25T00:44:47.310Z</dcterms:created>
  <dcterms:modified xsi:type="dcterms:W3CDTF">2026-09-25T00:44:47.310Z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