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c6nzok_qrelxacehyhtr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24 сентября 2014 года № 42/8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dyknpo9r_wvjb_psyx3u">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kxhhyja-24qdu2rtxyrh8">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60"/>
        <w:ind w:firstLine="567"/>
        <w:jc w:val="both"/>
      </w:pPr>
      <w:r>
        <w:rPr>
          <w:rFonts w:ascii="Arial" w:cs="Arial" w:eastAsia="Arial" w:hAnsi="Arial"/>
          <w:sz w:val="24"/>
          <w:szCs w:val="24"/>
        </w:rPr>
        <w:t xml:space="preserve">2. Настоящее Положение определяет общие принципы системы классификации активов и резервов на покрытие потенциальных потерь и убытков (далее - РППУ), для микрофинансовых организаций, включая микрофинансовые организации, имеющие "исламское окно", не имеющих лицензии на право привлечения денежных средств (далее - МФО), осуществляющих свою деятельность в соответствии с исламскими принципами банковского дела и финансирования на основании свидетельства/лицензии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МФО обязаны на постоянной основе проводить оценку качества активов (классифицировать), указанных в пункте 14 настоящего Положения, а также создавать соответствующее РППУ на уровне, достаточном для покрытия возможных потерь и убытков по активам.</w:t>
      </w:r>
    </w:p>
    <w:p>
      <w:pPr>
        <w:spacing w:after="60"/>
        <w:ind w:firstLine="567"/>
        <w:jc w:val="both"/>
      </w:pPr>
      <w:r>
        <w:rPr>
          <w:rFonts w:ascii="Arial" w:cs="Arial" w:eastAsia="Arial" w:hAnsi="Arial"/>
          <w:sz w:val="24"/>
          <w:szCs w:val="24"/>
        </w:rPr>
        <w:t xml:space="preserve">4. РППУ создается при обесценении активов, то есть при снижении их стоимости вследствие неисполнения или ненадлежащего исполнения клиентом/партнером/поставщиком (далее - клиент) МФО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60"/>
        <w:ind w:firstLine="567"/>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60"/>
        <w:ind w:firstLine="567"/>
        <w:jc w:val="both"/>
      </w:pPr>
      <w:r>
        <w:rPr>
          <w:rFonts w:ascii="Arial" w:cs="Arial" w:eastAsia="Arial" w:hAnsi="Arial"/>
          <w:sz w:val="24"/>
          <w:szCs w:val="24"/>
        </w:rPr>
        <w:t xml:space="preserve">5. МФО могут разработать внутреннюю систему классификации активов, не нарушая при этом значения отчислений на формирование РППУ, установленные в настоящем Положении.</w:t>
      </w:r>
    </w:p>
    <w:p>
      <w:pPr>
        <w:spacing w:after="200" w:before="200"/>
        <w:jc w:val="center"/>
      </w:pPr>
      <w:r>
        <w:rPr>
          <w:rFonts w:ascii="Arial" w:cs="Arial" w:eastAsia="Arial" w:hAnsi="Arial"/>
          <w:b/>
          <w:bCs/>
          <w:sz w:val="24"/>
          <w:szCs w:val="24"/>
        </w:rPr>
        <w:t xml:space="preserve">2. Основные понятия, применяемые в настоящем положении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снижения стоимости актива МФО вследствие неисполнения или ненадлежащего исполнения клиентом своих обязательств в соответствии с условиями договора.</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yufv4qxbxaufob6jpa-w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Групповое финансирование</w:t>
      </w:r>
      <w:r>
        <w:rPr>
          <w:rFonts w:ascii="Arial" w:cs="Arial" w:eastAsia="Arial" w:hAnsi="Arial"/>
          <w:sz w:val="24"/>
          <w:szCs w:val="24"/>
        </w:rPr>
        <w:t xml:space="preserve"> - предоставление финансирования под солидарную ответственность членов группы солидарной ответственности (ГСО), занимающихся деятельностью, направленной на получение дохода (в том числе предпринимательской деятельностью). При этом члены ГСО совместно поручаются за выполнение обязательств каждого члена группы и несут солидарную ответственность перед МФО в соответствии с законодательством Кыргызской Республики. Классификация группового финансирования осуществляется в соответствии с </w:t>
      </w:r>
      <w:r>
        <w:rPr>
          <w:rFonts w:ascii="Arial" w:cs="Arial" w:eastAsia="Arial" w:hAnsi="Arial"/>
          <w:sz w:val="24"/>
          <w:szCs w:val="24"/>
        </w:rPr>
        <w:t xml:space="preserve">П</w:t>
      </w:r>
      <w:hyperlink w:history="1" r:id="rIdulfexghaltjlbeg3q26zo">
        <w:r>
          <w:rPr>
            <w:rFonts w:ascii="Arial" w:cs="Arial" w:eastAsia="Arial" w:hAnsi="Arial"/>
            <w:color w:val="1D4ED8"/>
            <w:sz w:val="24"/>
            <w:szCs w:val="24"/>
            <w:u w:val="single"/>
          </w:rPr>
          <w:t xml:space="preserve">орядком</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hyperlink w:history="1" r:id="rIdobg_mcqaghts6jinae1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lvgnbjtxrn-d2e5xoixp">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Индивидуальное финансирование</w:t>
      </w:r>
      <w:r>
        <w:rPr>
          <w:rFonts w:ascii="Arial" w:cs="Arial" w:eastAsia="Arial" w:hAnsi="Arial"/>
          <w:sz w:val="24"/>
          <w:szCs w:val="24"/>
        </w:rPr>
        <w:t xml:space="preserve"> - предоставление финансирования под индивидуальную ответственность клиента (физического или юридического лица).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Инвестиции МФО в ценные бумаги и/или в капитал</w:t>
      </w:r>
      <w:r>
        <w:rPr>
          <w:rFonts w:ascii="Arial" w:cs="Arial" w:eastAsia="Arial" w:hAnsi="Arial"/>
          <w:sz w:val="24"/>
          <w:szCs w:val="24"/>
        </w:rPr>
        <w:t xml:space="preserve"> - вложения МФО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МФО в оборотные средства других компаний и участие в совместных проектах считаются активами, несущими в себе кредитный риск.</w:t>
      </w:r>
    </w:p>
    <w:p>
      <w:pPr>
        <w:spacing w:after="200" w:before="200"/>
        <w:jc w:val="center"/>
      </w:pPr>
      <w:r>
        <w:rPr>
          <w:rFonts w:ascii="Arial" w:cs="Arial" w:eastAsia="Arial" w:hAnsi="Arial"/>
          <w:b/>
          <w:bCs/>
          <w:sz w:val="24"/>
          <w:szCs w:val="24"/>
        </w:rPr>
        <w:t xml:space="preserve">3. Общие требования по классификации активов</w:t>
      </w:r>
    </w:p>
    <w:p>
      <w:pPr>
        <w:spacing w:after="60"/>
        <w:ind w:firstLine="567"/>
        <w:jc w:val="both"/>
      </w:pPr>
      <w:r>
        <w:rPr>
          <w:rFonts w:ascii="Arial" w:cs="Arial" w:eastAsia="Arial" w:hAnsi="Arial"/>
          <w:sz w:val="24"/>
          <w:szCs w:val="24"/>
        </w:rPr>
        <w:t xml:space="preserve">11. Классификация активов осуществляется на основе анализа финансового состояния клиента МФО,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60"/>
        <w:ind w:firstLine="567"/>
        <w:jc w:val="both"/>
      </w:pPr>
      <w:r>
        <w:rPr>
          <w:rFonts w:ascii="Arial" w:cs="Arial" w:eastAsia="Arial" w:hAnsi="Arial"/>
          <w:sz w:val="24"/>
          <w:szCs w:val="24"/>
        </w:rPr>
        <w:t xml:space="preserve">12.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не ограничиваясь положениями, которые предусмотрены настоящим Положением.</w:t>
      </w:r>
    </w:p>
    <w:p>
      <w:pPr>
        <w:spacing w:after="60"/>
        <w:ind w:firstLine="567"/>
        <w:jc w:val="both"/>
      </w:pPr>
      <w:r>
        <w:rPr>
          <w:rFonts w:ascii="Arial" w:cs="Arial" w:eastAsia="Arial" w:hAnsi="Arial"/>
          <w:sz w:val="24"/>
          <w:szCs w:val="24"/>
        </w:rPr>
        <w:t xml:space="preserve">13. МФО классифицируют активы и формируют РППУ в целях своевременного покрытия потенциальных потерь и убытков по активам, подверженным кредитному риску.</w:t>
      </w:r>
    </w:p>
    <w:p>
      <w:pPr>
        <w:spacing w:after="60"/>
        <w:ind w:firstLine="567"/>
        <w:jc w:val="both"/>
      </w:pPr>
      <w:r>
        <w:rPr>
          <w:rFonts w:ascii="Arial" w:cs="Arial" w:eastAsia="Arial" w:hAnsi="Arial"/>
          <w:sz w:val="24"/>
          <w:szCs w:val="24"/>
        </w:rPr>
        <w:t xml:space="preserve">14. Активы МФО, несущие в себе кредитный риск, включают:</w:t>
      </w:r>
    </w:p>
    <w:p>
      <w:pPr>
        <w:spacing w:after="60"/>
        <w:ind w:firstLine="567"/>
        <w:jc w:val="both"/>
      </w:pPr>
      <w:r>
        <w:rPr>
          <w:rFonts w:ascii="Arial" w:cs="Arial" w:eastAsia="Arial" w:hAnsi="Arial"/>
          <w:sz w:val="24"/>
          <w:szCs w:val="24"/>
        </w:rPr>
        <w:t xml:space="preserve">- финансирование по исламским принципам;</w:t>
      </w:r>
    </w:p>
    <w:p>
      <w:pPr>
        <w:spacing w:after="60"/>
        <w:ind w:firstLine="567"/>
        <w:jc w:val="both"/>
      </w:pPr>
      <w:r>
        <w:rPr>
          <w:rFonts w:ascii="Arial" w:cs="Arial" w:eastAsia="Arial" w:hAnsi="Arial"/>
          <w:sz w:val="24"/>
          <w:szCs w:val="24"/>
        </w:rPr>
        <w:t xml:space="preserve">- финансовый лизинг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факторинг;</w:t>
      </w:r>
    </w:p>
    <w:p>
      <w:pPr>
        <w:spacing w:after="60"/>
        <w:ind w:firstLine="567"/>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другие активы, подверженные кредитному риску.</w:t>
      </w:r>
    </w:p>
    <w:p>
      <w:pPr>
        <w:spacing w:after="60"/>
        <w:ind w:firstLine="567"/>
        <w:jc w:val="both"/>
      </w:pPr>
      <w:r>
        <w:rPr>
          <w:rFonts w:ascii="Arial" w:cs="Arial" w:eastAsia="Arial" w:hAnsi="Arial"/>
          <w:sz w:val="24"/>
          <w:szCs w:val="24"/>
        </w:rPr>
        <w:t xml:space="preserve">15. МФО проводит классификацию и формирует соответствующий РППУ в отношении прочей собственности, т.е. собственности (имущества), принятой в погашение представленного МФО финансирования.</w:t>
      </w:r>
    </w:p>
    <w:p>
      <w:pPr>
        <w:spacing w:after="60"/>
        <w:ind w:firstLine="567"/>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Совокупность двух и более признаков определяет категорию классификации.</w:t>
      </w:r>
    </w:p>
    <w:p>
      <w:pPr>
        <w:spacing w:after="60"/>
        <w:ind w:firstLine="567"/>
        <w:jc w:val="both"/>
      </w:pPr>
      <w:r>
        <w:rPr>
          <w:rFonts w:ascii="Arial" w:cs="Arial" w:eastAsia="Arial" w:hAnsi="Arial"/>
          <w:sz w:val="24"/>
          <w:szCs w:val="24"/>
        </w:rPr>
        <w:t xml:space="preserve">17. Классификация активов производится на основе предварительного анализа с учетом:</w:t>
      </w:r>
    </w:p>
    <w:p>
      <w:pPr>
        <w:spacing w:after="60"/>
        <w:ind w:firstLine="567"/>
        <w:jc w:val="both"/>
      </w:pPr>
      <w:r>
        <w:rPr>
          <w:rFonts w:ascii="Arial" w:cs="Arial" w:eastAsia="Arial" w:hAnsi="Arial"/>
          <w:sz w:val="24"/>
          <w:szCs w:val="24"/>
        </w:rPr>
        <w:t xml:space="preserve">1) количественных характеристик состояния актива, включая:</w:t>
      </w:r>
    </w:p>
    <w:p>
      <w:pPr>
        <w:spacing w:after="60"/>
        <w:ind w:firstLine="567"/>
        <w:jc w:val="both"/>
      </w:pPr>
      <w:r>
        <w:rPr>
          <w:rFonts w:ascii="Arial" w:cs="Arial" w:eastAsia="Arial" w:hAnsi="Arial"/>
          <w:sz w:val="24"/>
          <w:szCs w:val="24"/>
        </w:rPr>
        <w:t xml:space="preserve">- наличие просрочки плановых платежей по основной сумме и/или наценке/доходу;</w:t>
      </w:r>
    </w:p>
    <w:p>
      <w:pPr>
        <w:spacing w:after="60"/>
        <w:ind w:firstLine="567"/>
        <w:jc w:val="both"/>
      </w:pPr>
      <w:r>
        <w:rPr>
          <w:rFonts w:ascii="Arial" w:cs="Arial" w:eastAsia="Arial" w:hAnsi="Arial"/>
          <w:sz w:val="24"/>
          <w:szCs w:val="24"/>
        </w:rPr>
        <w:t xml:space="preserve">- случаи неполного (частичного) погашения плановых платежей по основной сумме и/или наценке/доходу;</w:t>
      </w:r>
    </w:p>
    <w:p>
      <w:pPr>
        <w:spacing w:after="60"/>
        <w:ind w:firstLine="567"/>
        <w:jc w:val="both"/>
      </w:pPr>
      <w:r>
        <w:rPr>
          <w:rFonts w:ascii="Arial" w:cs="Arial" w:eastAsia="Arial" w:hAnsi="Arial"/>
          <w:sz w:val="24"/>
          <w:szCs w:val="24"/>
        </w:rPr>
        <w:t xml:space="preserve">2) качественных характеристик состояния актива, в том числе:</w:t>
      </w:r>
    </w:p>
    <w:p>
      <w:pPr>
        <w:spacing w:after="60"/>
        <w:ind w:firstLine="567"/>
        <w:jc w:val="both"/>
      </w:pPr>
      <w:r>
        <w:rPr>
          <w:rFonts w:ascii="Arial" w:cs="Arial" w:eastAsia="Arial" w:hAnsi="Arial"/>
          <w:sz w:val="24"/>
          <w:szCs w:val="24"/>
        </w:rPr>
        <w:t xml:space="preserve">- платежеспособность клиента, т.е. способность клиента своевременно погашать плановые платежи, как по наценке/доходу, так и по основной сумме;</w:t>
      </w:r>
    </w:p>
    <w:p>
      <w:pPr>
        <w:spacing w:after="60"/>
        <w:ind w:firstLine="567"/>
        <w:jc w:val="both"/>
      </w:pPr>
      <w:r>
        <w:rPr>
          <w:rFonts w:ascii="Arial" w:cs="Arial" w:eastAsia="Arial" w:hAnsi="Arial"/>
          <w:sz w:val="24"/>
          <w:szCs w:val="24"/>
        </w:rPr>
        <w:t xml:space="preserve">- состояние и стоимость залога;</w:t>
      </w:r>
    </w:p>
    <w:p>
      <w:pPr>
        <w:spacing w:after="60"/>
        <w:ind w:firstLine="567"/>
        <w:jc w:val="both"/>
      </w:pPr>
      <w:r>
        <w:rPr>
          <w:rFonts w:ascii="Arial" w:cs="Arial" w:eastAsia="Arial" w:hAnsi="Arial"/>
          <w:sz w:val="24"/>
          <w:szCs w:val="24"/>
        </w:rPr>
        <w:t xml:space="preserve">- наличие иных источников дохода (доходы членов семьи, доход от других видов деятельности и т.д.);</w:t>
      </w:r>
    </w:p>
    <w:p>
      <w:pPr>
        <w:spacing w:after="60"/>
        <w:ind w:firstLine="567"/>
        <w:jc w:val="both"/>
      </w:pPr>
      <w:r>
        <w:rPr>
          <w:rFonts w:ascii="Arial" w:cs="Arial" w:eastAsia="Arial" w:hAnsi="Arial"/>
          <w:sz w:val="24"/>
          <w:szCs w:val="24"/>
        </w:rPr>
        <w:t xml:space="preserve">- соблюдение клиентом условий договора по любому другому активу, в случае, если у клиента имеется непогашенная задолженность по другим обязательствам перед другими финансово-кредитными организациями. В связи с этим необходимо отслеживать наличие у клиента других активов, несущих в себе кредитный риск и в других финансово-кредитных организациях на момент рассмотрения заявки, используя информацию, получаемую от клиента, через кредитно-информационное бюро, или иным доступным способом в рамках законодательства Кыргызской Республики. В дальнейшем, в процессе мониторинга актива, по которому не истек срок договора финансирования, необходимо учитывать информацию, получаемую от клиента, о наличии у него иных активов, несущих в себе кредитный риск и полученных в других финансово-кредитных организациях, а также информацию о соблюдении им условий договора по данным активам. Договором финансирования должна быть предусмотрена обязанность предоставления клиентом не реже, чем один раз в полгода, указанной информации на время действия договора. При этом все финансово-кредитные организации обязаны предоставлять в течение 3-х рабочих дней по запросу клиента информацию о получении актива, несущего в себе кредитный риск, и о соблюдении клиентом условий договора для ее предоставления в другую финансово-кредитную организацию.</w:t>
      </w:r>
    </w:p>
    <w:p>
      <w:pPr>
        <w:spacing w:after="60"/>
        <w:ind w:firstLine="567"/>
        <w:jc w:val="both"/>
      </w:pPr>
      <w:r>
        <w:rPr>
          <w:rFonts w:ascii="Arial" w:cs="Arial" w:eastAsia="Arial" w:hAnsi="Arial"/>
          <w:sz w:val="24"/>
          <w:szCs w:val="24"/>
        </w:rPr>
        <w:t xml:space="preserve">18. Если классифицируемый актив занимает промежуточное положение между двумя категориями классификации активов, то такой актив следует относить к наихудшей из категорий классификации.</w:t>
      </w:r>
    </w:p>
    <w:p>
      <w:pPr>
        <w:spacing w:after="60"/>
        <w:ind w:firstLine="567"/>
        <w:jc w:val="both"/>
      </w:pPr>
      <w:r>
        <w:rPr>
          <w:rFonts w:ascii="Arial" w:cs="Arial" w:eastAsia="Arial" w:hAnsi="Arial"/>
          <w:sz w:val="24"/>
          <w:szCs w:val="24"/>
        </w:rPr>
        <w:t xml:space="preserve">19. При проведении классификации нескольких активов, предоставленных одному и тому же клиенту, МФО должен учитывать классификацию данных активов и классифицировать данные активы по наихудшей из категорий классификации по данным активам.</w:t>
      </w:r>
    </w:p>
    <w:p>
      <w:pPr>
        <w:spacing w:after="60"/>
        <w:ind w:firstLine="567"/>
        <w:jc w:val="both"/>
      </w:pPr>
      <w:r>
        <w:rPr>
          <w:rFonts w:ascii="Arial" w:cs="Arial" w:eastAsia="Arial" w:hAnsi="Arial"/>
          <w:sz w:val="24"/>
          <w:szCs w:val="24"/>
        </w:rPr>
        <w:t xml:space="preserve">20. Договорные отношения между МФО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стандартов Шариата.</w:t>
      </w:r>
    </w:p>
    <w:p>
      <w:pPr>
        <w:spacing w:after="200" w:before="200"/>
        <w:jc w:val="center"/>
      </w:pPr>
      <w:r>
        <w:rPr>
          <w:rFonts w:ascii="Arial" w:cs="Arial" w:eastAsia="Arial" w:hAnsi="Arial"/>
          <w:b/>
          <w:bCs/>
          <w:sz w:val="24"/>
          <w:szCs w:val="24"/>
        </w:rPr>
        <w:t xml:space="preserve">4. Классификация активов</w:t>
      </w:r>
    </w:p>
    <w:p>
      <w:pPr>
        <w:spacing w:after="60"/>
        <w:ind w:firstLine="567"/>
        <w:jc w:val="both"/>
      </w:pPr>
      <w:r>
        <w:rPr>
          <w:rFonts w:ascii="Arial" w:cs="Arial" w:eastAsia="Arial" w:hAnsi="Arial"/>
          <w:sz w:val="24"/>
          <w:szCs w:val="24"/>
        </w:rPr>
        <w:t xml:space="preserve">21. В целях классификации активов и создания РППУ устанавливаются следующие категории активов:</w:t>
      </w:r>
    </w:p>
    <w:p>
      <w:pPr>
        <w:spacing w:after="60"/>
        <w:ind w:firstLine="567"/>
        <w:jc w:val="both"/>
      </w:pPr>
      <w:r>
        <w:rPr>
          <w:rFonts w:ascii="Arial" w:cs="Arial" w:eastAsia="Arial" w:hAnsi="Arial"/>
          <w:sz w:val="24"/>
          <w:szCs w:val="24"/>
        </w:rPr>
        <w:t xml:space="preserve">1) нормальные активы;</w:t>
      </w:r>
    </w:p>
    <w:p>
      <w:pPr>
        <w:spacing w:after="60"/>
        <w:ind w:firstLine="567"/>
        <w:jc w:val="both"/>
      </w:pPr>
      <w:r>
        <w:rPr>
          <w:rFonts w:ascii="Arial" w:cs="Arial" w:eastAsia="Arial" w:hAnsi="Arial"/>
          <w:sz w:val="24"/>
          <w:szCs w:val="24"/>
        </w:rPr>
        <w:t xml:space="preserve">2) активы под наблюдением;</w:t>
      </w:r>
    </w:p>
    <w:p>
      <w:pPr>
        <w:spacing w:after="60"/>
        <w:ind w:firstLine="567"/>
        <w:jc w:val="both"/>
      </w:pPr>
      <w:r>
        <w:rPr>
          <w:rFonts w:ascii="Arial" w:cs="Arial" w:eastAsia="Arial" w:hAnsi="Arial"/>
          <w:sz w:val="24"/>
          <w:szCs w:val="24"/>
        </w:rPr>
        <w:t xml:space="preserve">3) субстандартные активы;</w:t>
      </w:r>
    </w:p>
    <w:p>
      <w:pPr>
        <w:spacing w:after="60"/>
        <w:ind w:firstLine="567"/>
        <w:jc w:val="both"/>
      </w:pPr>
      <w:r>
        <w:rPr>
          <w:rFonts w:ascii="Arial" w:cs="Arial" w:eastAsia="Arial" w:hAnsi="Arial"/>
          <w:sz w:val="24"/>
          <w:szCs w:val="24"/>
        </w:rPr>
        <w:t xml:space="preserve">4) сомнительные активы;</w:t>
      </w:r>
    </w:p>
    <w:p>
      <w:pPr>
        <w:spacing w:after="60"/>
        <w:ind w:firstLine="567"/>
        <w:jc w:val="both"/>
      </w:pPr>
      <w:r>
        <w:rPr>
          <w:rFonts w:ascii="Arial" w:cs="Arial" w:eastAsia="Arial" w:hAnsi="Arial"/>
          <w:sz w:val="24"/>
          <w:szCs w:val="24"/>
        </w:rPr>
        <w:t xml:space="preserve">5) потери.</w:t>
      </w:r>
    </w:p>
    <w:p>
      <w:pPr>
        <w:spacing w:after="60"/>
        <w:ind w:firstLine="567"/>
        <w:jc w:val="both"/>
      </w:pPr>
      <w:r>
        <w:rPr>
          <w:rFonts w:ascii="Arial" w:cs="Arial" w:eastAsia="Arial" w:hAnsi="Arial"/>
          <w:sz w:val="24"/>
          <w:szCs w:val="24"/>
        </w:rPr>
        <w:t xml:space="preserve">22. Активы считаются нормальными,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удовлетворительное финансовое состояние клиента, стабильные источники дохода;</w:t>
      </w:r>
    </w:p>
    <w:p>
      <w:pPr>
        <w:spacing w:after="60"/>
        <w:ind w:firstLine="567"/>
        <w:jc w:val="both"/>
      </w:pPr>
      <w:r>
        <w:rPr>
          <w:rFonts w:ascii="Arial" w:cs="Arial" w:eastAsia="Arial" w:hAnsi="Arial"/>
          <w:sz w:val="24"/>
          <w:szCs w:val="24"/>
        </w:rPr>
        <w:t xml:space="preserve">- положительная кредитная история клиента;</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своевременно выполняются условия договора с МФО;</w:t>
      </w:r>
    </w:p>
    <w:p>
      <w:pPr>
        <w:spacing w:after="60"/>
        <w:ind w:firstLine="567"/>
        <w:jc w:val="both"/>
      </w:pPr>
      <w:r>
        <w:rPr>
          <w:rFonts w:ascii="Arial" w:cs="Arial" w:eastAsia="Arial" w:hAnsi="Arial"/>
          <w:sz w:val="24"/>
          <w:szCs w:val="24"/>
        </w:rPr>
        <w:t xml:space="preserve">- наличие обеспечения исполнения договора о финансировании ликвидным залогом на всю сумму определенную договором;</w:t>
      </w:r>
    </w:p>
    <w:p>
      <w:pPr>
        <w:spacing w:after="60"/>
        <w:ind w:firstLine="567"/>
        <w:jc w:val="both"/>
      </w:pPr>
      <w:r>
        <w:rPr>
          <w:rFonts w:ascii="Arial" w:cs="Arial" w:eastAsia="Arial" w:hAnsi="Arial"/>
          <w:sz w:val="24"/>
          <w:szCs w:val="24"/>
        </w:rPr>
        <w:t xml:space="preserve">- при индивидуальном финансировании задолженность по основной сумме финансирования и по наценке полностью обеспечена залогом, который пользуется спросом и может быть реализован в приемлемые сроки и по приемлемой цене, либо имеется гарантия надежного гаранта.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adaontsz-tcxsgyxwv5i">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Активами под наблюдением считаются активы, по которым имеются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60"/>
        <w:ind w:firstLine="567"/>
        <w:jc w:val="both"/>
      </w:pPr>
      <w:r>
        <w:rPr>
          <w:rFonts w:ascii="Arial" w:cs="Arial" w:eastAsia="Arial" w:hAnsi="Arial"/>
          <w:sz w:val="24"/>
          <w:szCs w:val="24"/>
        </w:rPr>
        <w:t xml:space="preserve">МФО должен классифицировать актив в качестве актива под наблюдением при наличии одного из следующих признаков:</w:t>
      </w:r>
    </w:p>
    <w:p>
      <w:pPr>
        <w:spacing w:after="60"/>
        <w:ind w:firstLine="567"/>
        <w:jc w:val="both"/>
      </w:pPr>
      <w:r>
        <w:rPr>
          <w:rFonts w:ascii="Arial" w:cs="Arial" w:eastAsia="Arial" w:hAnsi="Arial"/>
          <w:sz w:val="24"/>
          <w:szCs w:val="24"/>
        </w:rPr>
        <w:t xml:space="preserve">- появление тенденций ухудшения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МФО;</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 невозможность для МФО проводить мониторинг залога из-за недостаточной документации, либо из-за отсутствия экспертов по его оценке;</w:t>
      </w:r>
    </w:p>
    <w:p>
      <w:pPr>
        <w:spacing w:after="60"/>
        <w:ind w:firstLine="567"/>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60"/>
        <w:ind w:firstLine="567"/>
        <w:jc w:val="both"/>
      </w:pPr>
      <w:r>
        <w:rPr>
          <w:rFonts w:ascii="Arial" w:cs="Arial" w:eastAsia="Arial" w:hAnsi="Arial"/>
          <w:sz w:val="24"/>
          <w:szCs w:val="24"/>
        </w:rPr>
        <w:t xml:space="preserve">- наличие у клиента - физического лица, в том числе индивидуального предпринимателя, непогашенной задолженности в других финансово-кредитных организациях по любому другому активу, за исключением активов, профинансированных по целевым государственным программам Правительства Кыргызской Республики. 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 погашение задолженности клиента - физического лица, в том числе индивидуального предпринимателя, и задолженности его супруга(и), родителей и детей по активам, за исключением активов, выданных им по целевым государственным программам Правительства Кыргызской Республики, перед данным МФО и/или другими финансово-кредитными организациями за счет единого источника дохода. При этом под одним и тем же источником погашения активов,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Субстандартными активами считаются активы, по которым наблюдаются определенные негативные тенденции, достаточно ясно показывающие, что МФО необходимо доформировать РППУ и/или принять соответствующие меры, направленные на улучшение качества актива.</w:t>
      </w:r>
    </w:p>
    <w:p>
      <w:pPr>
        <w:spacing w:after="60"/>
        <w:ind w:firstLine="567"/>
        <w:jc w:val="both"/>
      </w:pPr>
      <w:r>
        <w:rPr>
          <w:rFonts w:ascii="Arial" w:cs="Arial" w:eastAsia="Arial" w:hAnsi="Arial"/>
          <w:sz w:val="24"/>
          <w:szCs w:val="24"/>
        </w:rPr>
        <w:t xml:space="preserve">МФО должен классифицировать актив в качестве субстандартного актива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31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31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31 до 90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31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31 до 90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если актив обеспечен залогом не в полной мере или наблюдается ухудшение качества залога, либо залог обесценивается;</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 невыполнение клиентом - физическим лицом или индивидуальным предпринимателем, условий договора более 30 дней по любому другому активу, несущему в себе кредитный риск, за исключением активов, профинансированных по целевым государственным программам Правительства Кыргызской Республики, в данном МФО и/или другой финансово-кредитной организации.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 наличие просроченной задолженности более 30 дней по активам, супруга(и), родителей и детей клиента - физического лица или индивидуального предпринимателя, перед данным МФО и/или другими финансово-кредитными организациями, за исключением активов, профинансированных по целевым государственным программам Правительства Кыргызской Республики, при условии, что источник погашения всех вышеуказанных активов один и тот же. При этом под одним и тем же источником погашения активов,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d3bdeipccwakj5sncy5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МФО понесет значительные потери.</w:t>
      </w:r>
    </w:p>
    <w:p>
      <w:pPr>
        <w:spacing w:after="60"/>
        <w:ind w:firstLine="567"/>
        <w:jc w:val="both"/>
      </w:pPr>
      <w:r>
        <w:rPr>
          <w:rFonts w:ascii="Arial" w:cs="Arial" w:eastAsia="Arial" w:hAnsi="Arial"/>
          <w:sz w:val="24"/>
          <w:szCs w:val="24"/>
        </w:rPr>
        <w:t xml:space="preserve">МФО должна классифицировать актив в качестве сомнительного актива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91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91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91 до 180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91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91 до 180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не предусмотренная бизнес-планом, согласованным с МФО, убыточная деятельность клиента;</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МФО и клиентом;</w:t>
      </w:r>
    </w:p>
    <w:p>
      <w:pPr>
        <w:spacing w:after="60"/>
        <w:ind w:firstLine="567"/>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60"/>
        <w:ind w:firstLine="567"/>
        <w:jc w:val="both"/>
      </w:pPr>
      <w:r>
        <w:rPr>
          <w:rFonts w:ascii="Arial" w:cs="Arial" w:eastAsia="Arial" w:hAnsi="Arial"/>
          <w:sz w:val="24"/>
          <w:szCs w:val="24"/>
        </w:rPr>
        <w:t xml:space="preserve">- серьезные ухудшения финансового состояния клиента (либо клиент находится на грани банкротства);</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 МФО.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bkz3tkedgucmqstr9_sm">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МФО должна классифицировать актив в качестве потери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если проект, в котором участвует МФО, не реализован в соответствии с договором;</w:t>
      </w:r>
    </w:p>
    <w:p>
      <w:pPr>
        <w:spacing w:after="60"/>
        <w:ind w:firstLine="567"/>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 неспособность, отказ клиента выполнить условия договора с МФО;</w:t>
      </w:r>
    </w:p>
    <w:p>
      <w:pPr>
        <w:spacing w:after="60"/>
        <w:ind w:firstLine="567"/>
        <w:jc w:val="both"/>
      </w:pPr>
      <w:r>
        <w:rPr>
          <w:rFonts w:ascii="Arial" w:cs="Arial" w:eastAsia="Arial" w:hAnsi="Arial"/>
          <w:sz w:val="24"/>
          <w:szCs w:val="24"/>
        </w:rPr>
        <w:t xml:space="preserve">- нежелание клиента сотрудничать с МФО, либо отсутствие клиента;</w:t>
      </w:r>
    </w:p>
    <w:p>
      <w:pPr>
        <w:spacing w:after="60"/>
        <w:ind w:firstLine="567"/>
        <w:jc w:val="both"/>
      </w:pPr>
      <w:r>
        <w:rPr>
          <w:rFonts w:ascii="Arial" w:cs="Arial" w:eastAsia="Arial" w:hAnsi="Arial"/>
          <w:sz w:val="24"/>
          <w:szCs w:val="24"/>
        </w:rPr>
        <w:t xml:space="preserve">- банкротство клиента.</w:t>
      </w:r>
    </w:p>
    <w:p>
      <w:pPr>
        <w:spacing w:after="60"/>
        <w:ind w:firstLine="567"/>
        <w:jc w:val="both"/>
      </w:pPr>
      <w:r>
        <w:rPr>
          <w:rFonts w:ascii="Arial" w:cs="Arial" w:eastAsia="Arial" w:hAnsi="Arial"/>
          <w:sz w:val="24"/>
          <w:szCs w:val="24"/>
        </w:rPr>
        <w:t xml:space="preserve">27. После отнесения актива к категории активов, классифицированных как потери, МФО должна принять все меры по обеспечению возврата основной суммы актива и наценки/доходов по нему в соответствии с законодательством Кыргызской Республики, включая обращение в судебные органы. В случае если все принятые меры не обеспечили возврат данного актива, то он учитывается внесистемно не менее трех лет. В случае возврата актива, порядок погашения суммы задолженности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ndzyi9de_ac_rgxbypka">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Особенности классификации активов МФО</w:t>
      </w:r>
    </w:p>
    <w:p>
      <w:pPr>
        <w:spacing w:after="60"/>
        <w:ind w:firstLine="567"/>
        <w:jc w:val="both"/>
      </w:pPr>
      <w:r>
        <w:rPr>
          <w:rFonts w:ascii="Arial" w:cs="Arial" w:eastAsia="Arial" w:hAnsi="Arial"/>
          <w:sz w:val="24"/>
          <w:szCs w:val="24"/>
        </w:rPr>
        <w:t xml:space="preserve">28. Классификация прочей собственности МФО.</w:t>
      </w:r>
    </w:p>
    <w:p>
      <w:pPr>
        <w:spacing w:after="60"/>
        <w:ind w:firstLine="567"/>
        <w:jc w:val="both"/>
      </w:pPr>
      <w:r>
        <w:rPr>
          <w:rFonts w:ascii="Arial" w:cs="Arial" w:eastAsia="Arial" w:hAnsi="Arial"/>
          <w:sz w:val="24"/>
          <w:szCs w:val="24"/>
        </w:rPr>
        <w:t xml:space="preserve">Прочая собственность МФО, т.е. собственность (имущество), принятая в погашение предоставленного МФО финансирования и активов, несущих в себе кредитный риск,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29. Прочая собственность классифицируется как потери, если она не продана МФО по истечении следующих сроков:</w:t>
      </w:r>
    </w:p>
    <w:p>
      <w:pPr>
        <w:spacing w:after="60"/>
        <w:ind w:firstLine="567"/>
        <w:jc w:val="both"/>
      </w:pPr>
      <w:r>
        <w:rPr>
          <w:rFonts w:ascii="Arial" w:cs="Arial" w:eastAsia="Arial" w:hAnsi="Arial"/>
          <w:sz w:val="24"/>
          <w:szCs w:val="24"/>
        </w:rPr>
        <w:t xml:space="preserve">1) одного года - для движимого имущества;</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Классификация инвестиций МФО.</w:t>
      </w:r>
    </w:p>
    <w:p>
      <w:pPr>
        <w:spacing w:after="60"/>
        <w:ind w:firstLine="567"/>
        <w:jc w:val="both"/>
      </w:pPr>
      <w:r>
        <w:rPr>
          <w:rFonts w:ascii="Arial" w:cs="Arial" w:eastAsia="Arial" w:hAnsi="Arial"/>
          <w:sz w:val="24"/>
          <w:szCs w:val="24"/>
        </w:rPr>
        <w:t xml:space="preserve">МФО проводят оценку качества своих инвестиций и их классификацию, принимая во внимание также, в частности,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МФО;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МФО,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31. Инвестиции в ценные бумаги Правительства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sz w:val="24"/>
          <w:szCs w:val="24"/>
        </w:rPr>
        <w:t xml:space="preserve">32. Классификация реструктуризированных активов МФО.</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МФО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2lijycq3m1tpb_phfq1m">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xkysqeylmbwj494rwkuc">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6yg73g7pizvawlyuvpef">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32-3. Классифицированный реструктуризированный актив не может относиться к неклассифицированным активам до выполнения условий пункта 32-8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7h97_brrcgy-1m2i92jy">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m0yfrxqezgzxgpuhfh4e">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32-5.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kkrkuxwnzuxi7mfhb7ma">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32-6.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u3gjdhc9-s5wfeyapmuq">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32-7.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fo6rfa3ygkv8_usdfny">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jkqyldkjbtchnqhk8go2">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Формирование РППУ</w:t>
      </w:r>
    </w:p>
    <w:p>
      <w:pPr>
        <w:spacing w:after="60"/>
        <w:ind w:firstLine="567"/>
        <w:jc w:val="both"/>
      </w:pPr>
      <w:r>
        <w:rPr>
          <w:rFonts w:ascii="Arial" w:cs="Arial" w:eastAsia="Arial" w:hAnsi="Arial"/>
          <w:sz w:val="24"/>
          <w:szCs w:val="24"/>
        </w:rPr>
        <w:t xml:space="preserve">33. МФО проводят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34. МФО создают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 МФО.</w:t>
      </w:r>
    </w:p>
    <w:p>
      <w:pPr>
        <w:spacing w:after="60"/>
        <w:ind w:firstLine="567"/>
        <w:jc w:val="both"/>
      </w:pPr>
      <w:r>
        <w:rPr>
          <w:rFonts w:ascii="Arial" w:cs="Arial" w:eastAsia="Arial" w:hAnsi="Arial"/>
          <w:sz w:val="24"/>
          <w:szCs w:val="24"/>
        </w:rPr>
        <w:t xml:space="preserve">35. Национальный банк устанавливает следующие размеры отчислений в РППУ по активам, размещенным согласно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1) общие резервы:</w:t>
      </w:r>
    </w:p>
    <w:p>
      <w:pPr>
        <w:spacing w:after="60"/>
        <w:ind w:firstLine="567"/>
        <w:jc w:val="both"/>
      </w:pPr>
      <w:r>
        <w:rPr>
          <w:rFonts w:ascii="Arial" w:cs="Arial" w:eastAsia="Arial" w:hAnsi="Arial"/>
          <w:sz w:val="24"/>
          <w:szCs w:val="24"/>
        </w:rPr>
        <w:t xml:space="preserve">- нормальные - 0-5%;</w:t>
      </w:r>
    </w:p>
    <w:p>
      <w:pPr>
        <w:spacing w:after="60"/>
        <w:ind w:firstLine="567"/>
        <w:jc w:val="both"/>
      </w:pPr>
      <w:r>
        <w:rPr>
          <w:rFonts w:ascii="Arial" w:cs="Arial" w:eastAsia="Arial" w:hAnsi="Arial"/>
          <w:sz w:val="24"/>
          <w:szCs w:val="24"/>
        </w:rPr>
        <w:t xml:space="preserve">- активы под наблюдением - 10%;</w:t>
      </w:r>
    </w:p>
    <w:p>
      <w:pPr>
        <w:spacing w:after="60"/>
        <w:ind w:firstLine="567"/>
        <w:jc w:val="both"/>
      </w:pPr>
      <w:r>
        <w:rPr>
          <w:rFonts w:ascii="Arial" w:cs="Arial" w:eastAsia="Arial" w:hAnsi="Arial"/>
          <w:sz w:val="24"/>
          <w:szCs w:val="24"/>
        </w:rPr>
        <w:t xml:space="preserve">2) специальные резервы:</w:t>
      </w:r>
    </w:p>
    <w:p>
      <w:pPr>
        <w:spacing w:after="60"/>
        <w:ind w:firstLine="567"/>
        <w:jc w:val="both"/>
      </w:pPr>
      <w:r>
        <w:rPr>
          <w:rFonts w:ascii="Arial" w:cs="Arial" w:eastAsia="Arial" w:hAnsi="Arial"/>
          <w:sz w:val="24"/>
          <w:szCs w:val="24"/>
        </w:rPr>
        <w:t xml:space="preserve">- субстандартные - 25%;</w:t>
      </w:r>
    </w:p>
    <w:p>
      <w:pPr>
        <w:spacing w:after="60"/>
        <w:ind w:firstLine="567"/>
        <w:jc w:val="both"/>
      </w:pPr>
      <w:r>
        <w:rPr>
          <w:rFonts w:ascii="Arial" w:cs="Arial" w:eastAsia="Arial" w:hAnsi="Arial"/>
          <w:sz w:val="24"/>
          <w:szCs w:val="24"/>
        </w:rPr>
        <w:t xml:space="preserve">- сомнительные - 50%;</w:t>
      </w:r>
    </w:p>
    <w:p>
      <w:pPr>
        <w:spacing w:after="60"/>
        <w:ind w:firstLine="567"/>
        <w:jc w:val="both"/>
      </w:pPr>
      <w:r>
        <w:rPr>
          <w:rFonts w:ascii="Arial" w:cs="Arial" w:eastAsia="Arial" w:hAnsi="Arial"/>
          <w:sz w:val="24"/>
          <w:szCs w:val="24"/>
        </w:rPr>
        <w:t xml:space="preserve">- потери -100%.</w:t>
      </w:r>
    </w:p>
    <w:p>
      <w:pPr>
        <w:spacing w:after="60"/>
        <w:ind w:firstLine="567"/>
        <w:jc w:val="both"/>
      </w:pPr>
      <w:r>
        <w:rPr>
          <w:rFonts w:ascii="Arial" w:cs="Arial" w:eastAsia="Arial" w:hAnsi="Arial"/>
          <w:sz w:val="24"/>
          <w:szCs w:val="24"/>
        </w:rPr>
        <w:t xml:space="preserve">36. Согласно классификации активов производится расчет требуемого размера РППУ по каждому активу, несущему в себе кредитный риск, в соответствии с установленными нормами отчислений. Требуемые отчисления в резерв по каждому финансированию суммируются и определяется итоговый размер РППУ на конец отчетного периода. Для определения адекватности РППУ рассчитанный размер резерва сравнивается с размером резерва, определенного при предыдущей классификации. В случае, когда размер РППУ по балансу меньше, чем его итоговый размер, МФО необходимо произвести дополнительные отчисления в РППУ, чтобы привести резерв в соответствие с рассчитанным размером на конец отчетного периода. Дополнительные отчисления в РППУ не производятся в случае, если сумма фактически сформированного резерва по балансу больше или равна расчетной сумме РППУ.</w:t>
      </w:r>
    </w:p>
    <w:p>
      <w:pPr>
        <w:spacing w:after="60"/>
        <w:ind w:firstLine="567"/>
        <w:jc w:val="both"/>
      </w:pPr>
      <w:r>
        <w:rPr>
          <w:rFonts w:ascii="Arial" w:cs="Arial" w:eastAsia="Arial" w:hAnsi="Arial"/>
          <w:sz w:val="24"/>
          <w:szCs w:val="24"/>
        </w:rPr>
        <w:t xml:space="preserve">37. Сумма РППУ по балансу, которая превышает итоговый требуемый размер на конец отчетного периода (месяца), может быть направлена на уменьшение расходов по созданию РППУ.</w:t>
      </w:r>
    </w:p>
    <w:p>
      <w:pPr>
        <w:spacing w:after="60"/>
        <w:ind w:firstLine="567"/>
        <w:jc w:val="both"/>
      </w:pPr>
      <w:r>
        <w:rPr>
          <w:rFonts w:ascii="Arial" w:cs="Arial" w:eastAsia="Arial" w:hAnsi="Arial"/>
          <w:sz w:val="24"/>
          <w:szCs w:val="24"/>
        </w:rPr>
        <w:t xml:space="preserve">38. Регулярная проверка адекватности РППУ текущему состоянию активов МФО осуществляется внутренним аудитором (службой внутреннего аудита) МФО, обязанностью которого является немедленное информирование руководства МФО о выявленных недостатках.</w:t>
      </w:r>
    </w:p>
    <w:p>
      <w:pPr>
        <w:spacing w:after="60"/>
        <w:ind w:firstLine="567"/>
        <w:jc w:val="both"/>
      </w:pPr>
      <w:r>
        <w:rPr>
          <w:rFonts w:ascii="Arial" w:cs="Arial" w:eastAsia="Arial" w:hAnsi="Arial"/>
          <w:sz w:val="24"/>
          <w:szCs w:val="24"/>
        </w:rPr>
        <w:t xml:space="preserve">МФО вправе выбрать более консервативный подход к оценке активов. В этих целях МФО может разработать внутренние процедуры по оценке адекватности кредитных рисков, не нарушающие требований настоящего Положения.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v57iueuw2udf3mwtvsw">
      <w:r>
        <w:rPr>
          <w:rFonts w:ascii="Arial" w:cs="Arial" w:eastAsia="Arial" w:hAnsi="Arial"/>
          <w:color w:val="132D3F"/>
          <w:sz w:val="16"/>
          <w:szCs w:val="16"/>
          <w:u w:val="single"/>
        </w:rPr>
        <w:t xml:space="preserve">dalil.kg/document/302959</w:t>
      </w:r>
    </w:hyperlink>
  </w:p>
  <w:p>
    <w:pPr>
      <w:spacing w:after="0" w:before="40"/>
      <w:jc w:val="center"/>
    </w:pPr>
    <w:hyperlink w:history="1" r:id="rIdpman60ftsass7zgroa9l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nzok_qrelxacehyhtrx" Type="http://schemas.openxmlformats.org/officeDocument/2006/relationships/hyperlink" Target="https://dalil.kg/document/302958" TargetMode="External"/><Relationship Id="rIdgdyknpo9r_wvjb_psyx3u" Type="http://schemas.openxmlformats.org/officeDocument/2006/relationships/hyperlink" Target="https://dalil.kg/document/302998" TargetMode="External"/><Relationship Id="rIdkxhhyja-24qdu2rtxyrh8" Type="http://schemas.openxmlformats.org/officeDocument/2006/relationships/hyperlink" Target="https://dalil.kg/document/800078" TargetMode="External"/><Relationship Id="rIdyufv4qxbxaufob6jpa-wp" Type="http://schemas.openxmlformats.org/officeDocument/2006/relationships/hyperlink" Target="https://dalil.kg/document/800078" TargetMode="External"/><Relationship Id="rIdulfexghaltjlbeg3q26zo" Type="http://schemas.openxmlformats.org/officeDocument/2006/relationships/hyperlink" Target="https://dalil.kg/document/301136" TargetMode="External"/><Relationship Id="rIdobg_mcqaghts6jinae1wg" Type="http://schemas.openxmlformats.org/officeDocument/2006/relationships/hyperlink" Target="https://dalil.kg/document/301135" TargetMode="External"/><Relationship Id="rIdklvgnbjtxrn-d2e5xoixp" Type="http://schemas.openxmlformats.org/officeDocument/2006/relationships/hyperlink" Target="https://dalil.kg/document/302998" TargetMode="External"/><Relationship Id="rIdaadaontsz-tcxsgyxwv5i" Type="http://schemas.openxmlformats.org/officeDocument/2006/relationships/hyperlink" Target="https://dalil.kg/document/800078" TargetMode="External"/><Relationship Id="rIddd3bdeipccwakj5sncy5s" Type="http://schemas.openxmlformats.org/officeDocument/2006/relationships/hyperlink" Target="https://dalil.kg/document/800078" TargetMode="External"/><Relationship Id="rIdybkz3tkedgucmqstr9_sm" Type="http://schemas.openxmlformats.org/officeDocument/2006/relationships/hyperlink" Target="https://dalil.kg/document/800078" TargetMode="External"/><Relationship Id="rIdrndzyi9de_ac_rgxbypka" Type="http://schemas.openxmlformats.org/officeDocument/2006/relationships/hyperlink" Target="https://dalil.kg/document/800078" TargetMode="External"/><Relationship Id="rIdm2lijycq3m1tpb_phfq1m" Type="http://schemas.openxmlformats.org/officeDocument/2006/relationships/hyperlink" Target="https://dalil.kg/document/800078" TargetMode="External"/><Relationship Id="rIdjxkysqeylmbwj494rwkuc" Type="http://schemas.openxmlformats.org/officeDocument/2006/relationships/hyperlink" Target="https://dalil.kg/document/800078" TargetMode="External"/><Relationship Id="rIdi6yg73g7pizvawlyuvpef" Type="http://schemas.openxmlformats.org/officeDocument/2006/relationships/hyperlink" Target="https://dalil.kg/document/800078" TargetMode="External"/><Relationship Id="rIdi7h97_brrcgy-1m2i92jy" Type="http://schemas.openxmlformats.org/officeDocument/2006/relationships/hyperlink" Target="https://dalil.kg/document/800078" TargetMode="External"/><Relationship Id="rIdqm0yfrxqezgzxgpuhfh4e" Type="http://schemas.openxmlformats.org/officeDocument/2006/relationships/hyperlink" Target="https://dalil.kg/document/800078" TargetMode="External"/><Relationship Id="rIdekkrkuxwnzuxi7mfhb7ma" Type="http://schemas.openxmlformats.org/officeDocument/2006/relationships/hyperlink" Target="https://dalil.kg/document/800078" TargetMode="External"/><Relationship Id="rIdru3gjdhc9-s5wfeyapmuq" Type="http://schemas.openxmlformats.org/officeDocument/2006/relationships/hyperlink" Target="https://dalil.kg/document/800078" TargetMode="External"/><Relationship Id="rIdiefo6rfa3ygkv8_usdfny" Type="http://schemas.openxmlformats.org/officeDocument/2006/relationships/hyperlink" Target="https://dalil.kg/document/800078" TargetMode="External"/><Relationship Id="rIdhjkqyldkjbtchnqhk8go2"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v57iueuw2udf3mwtvsw" Type="http://schemas.openxmlformats.org/officeDocument/2006/relationships/hyperlink" Target="https://dalil.kg/document/302959" TargetMode="External"/><Relationship Id="rIdpman60ftsass7zgroa9l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2026-09-25T06:15:12.707Z</dcterms:created>
  <dcterms:modified xsi:type="dcterms:W3CDTF">2026-09-25T06:15:12.707Z</dcterms:modified>
</cp:coreProperties>
</file>

<file path=docProps/custom.xml><?xml version="1.0" encoding="utf-8"?>
<Properties xmlns="http://schemas.openxmlformats.org/officeDocument/2006/custom-properties" xmlns:vt="http://schemas.openxmlformats.org/officeDocument/2006/docPropsVTypes"/>
</file>