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right"/>
      </w:pPr>
      <w:r>
        <w:rPr>
          <w:rFonts w:ascii="Arial" w:cs="Arial" w:eastAsia="Arial" w:hAnsi="Arial"/>
          <w:sz w:val="24"/>
          <w:szCs w:val="24"/>
        </w:rPr>
        <w:t xml:space="preserve">Приложение
 к </w:t>
      </w:r>
      <w:hyperlink w:history="1" r:id="rIdnz-xcw_0uep5hrnrkacr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 сентября 2015 года № 50/1</w:t>
      </w:r>
    </w:p>
    <w:p>
      <w:pPr>
        <w:spacing w:after="400" w:before="400"/>
        <w:jc w:val="center"/>
      </w:pPr>
      <w:r>
        <w:rPr>
          <w:rFonts w:ascii="Arial" w:cs="Arial" w:eastAsia="Arial" w:hAnsi="Arial"/>
          <w:b/>
          <w:bCs/>
          <w:sz w:val="32"/>
          <w:szCs w:val="32"/>
        </w:rPr>
        <w:t xml:space="preserve">ПОЛОЖЕНИЕ
 о кредите для поддержания ликвидности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ilsrxl_yxn9enesskcnj">
        <w:r>
          <w:rPr>
            <w:rFonts w:ascii="Arial" w:cs="Arial" w:eastAsia="Arial" w:hAnsi="Arial"/>
            <w:i/>
            <w:iCs/>
            <w:color w:val="1D4ED8"/>
            <w:sz w:val="24"/>
            <w:szCs w:val="24"/>
            <w:u w:val="single"/>
          </w:rPr>
          <w:t xml:space="preserve">2 декабря 2015 года № 74/4, 31 мая 2017 года № 21/16, 25 октября 2017 года № 2017-П-09/45-9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кредите для поддержания ликвидности" (далее - Положение) определяет общие условия и порядок предоставления Национальным банком Кыргызской Республики (далее - Национальный банк) кредита коммерческому банку Кыргызской Республики, имеющему лицензию Национального банка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ec4fhliid-ddzs3osnhh">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Кредит для поддержания ликвидности (далее - кредит) предоставляется в соответствии с </w:t>
      </w:r>
      <w:hyperlink w:history="1" r:id="rIdz9p73ubjhcxv9cye_5e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7pviwd298amjdqutegaf">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банку в целях защиты целостности и обеспечения стабильности банковской системы, предотвращения системного риска, поддержания ликвидности банка и защиты интересов вкладчиков.</w:t>
      </w:r>
    </w:p>
    <w:p>
      <w:pPr>
        <w:spacing w:after="60"/>
        <w:ind w:firstLine="567"/>
        <w:jc w:val="both"/>
      </w:pPr>
      <w:r>
        <w:rPr>
          <w:rFonts w:ascii="Arial" w:cs="Arial" w:eastAsia="Arial" w:hAnsi="Arial"/>
          <w:sz w:val="24"/>
          <w:szCs w:val="24"/>
        </w:rPr>
        <w:t xml:space="preserve">4. Банк не вправе использовать кредит на выплату депозитов (вкладов) должностным лицам. Национальный банк может установить ограничения на выплату депозитов (вкладов) связанным с банком лицам и аффилированным лицам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tt_bfuv7w9lzmc_tg8r8">
        <w:r>
          <w:rPr>
            <w:rFonts w:ascii="Arial" w:cs="Arial" w:eastAsia="Arial" w:hAnsi="Arial"/>
            <w:i/>
            <w:iCs/>
            <w:color w:val="1D4ED8"/>
            <w:sz w:val="24"/>
            <w:szCs w:val="24"/>
            <w:u w:val="single"/>
          </w:rPr>
          <w:t xml:space="preserve">31 мая 2017 года № 21/16)</w:t>
        </w:r>
      </w:hyperlink>
    </w:p>
    <w:p>
      <w:pPr>
        <w:spacing w:after="60"/>
        <w:ind w:firstLine="567"/>
        <w:jc w:val="both"/>
      </w:pPr>
      <w:r>
        <w:rPr>
          <w:rFonts w:ascii="Arial" w:cs="Arial" w:eastAsia="Arial" w:hAnsi="Arial"/>
          <w:sz w:val="24"/>
          <w:szCs w:val="24"/>
        </w:rPr>
        <w:t xml:space="preserve">5. Банк не вправе использовать кредит для оплаты административных расходов, включая все виды вознаграждений/бонусов сотрудникам банка. Кроме того, Национальный банк вправе принять решение о сокращении банком своих административных расходов.</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количество пролонгаций, а также сроки и объем кредита принимается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vwa72bhp3jgnbchy898s">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_g0z5dwrrfuywx3hb3r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21/16)</w:t>
      </w:r>
    </w:p>
    <w:p>
      <w:pPr>
        <w:spacing w:after="60"/>
        <w:ind w:firstLine="567"/>
        <w:jc w:val="both"/>
      </w:pPr>
      <w:r>
        <w:rPr>
          <w:rFonts w:ascii="Arial" w:cs="Arial" w:eastAsia="Arial" w:hAnsi="Arial"/>
          <w:sz w:val="24"/>
          <w:szCs w:val="24"/>
        </w:rPr>
        <w:t xml:space="preserve">9. Обязательство по возврату кредита обеспечивается залогом. Требования к залогу, объему достаточности (в процентном выражении), виду и другим параметрам залогового обеспечения устанавливаются Правлением Национального банка.</w:t>
      </w:r>
    </w:p>
    <w:p>
      <w:pPr>
        <w:spacing w:after="60"/>
        <w:ind w:firstLine="567"/>
        <w:jc w:val="both"/>
      </w:pPr>
      <w:r>
        <w:rPr>
          <w:rFonts w:ascii="Arial" w:cs="Arial" w:eastAsia="Arial" w:hAnsi="Arial"/>
          <w:sz w:val="24"/>
          <w:szCs w:val="24"/>
        </w:rPr>
        <w:t xml:space="preserve">10. Для получения кредита банк обязан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2) решения Правления и Совета директоров банка о получении кредита и о предоставлении активов и/или имущества в обеспечение запрашиваемого кредита;</w:t>
      </w:r>
    </w:p>
    <w:p>
      <w:pPr>
        <w:spacing w:after="60"/>
        <w:ind w:firstLine="567"/>
        <w:jc w:val="both"/>
      </w:pPr>
      <w:r>
        <w:rPr>
          <w:rFonts w:ascii="Arial" w:cs="Arial" w:eastAsia="Arial" w:hAnsi="Arial"/>
          <w:sz w:val="24"/>
          <w:szCs w:val="24"/>
        </w:rPr>
        <w:t xml:space="preserve">3) копии документов, подтверждающие право собственности и/или права требования залогодателя на предмет залога;</w:t>
      </w:r>
    </w:p>
    <w:p>
      <w:pPr>
        <w:spacing w:after="60"/>
        <w:ind w:firstLine="567"/>
        <w:jc w:val="both"/>
      </w:pPr>
      <w:r>
        <w:rPr>
          <w:rFonts w:ascii="Arial" w:cs="Arial" w:eastAsia="Arial" w:hAnsi="Arial"/>
          <w:sz w:val="24"/>
          <w:szCs w:val="24"/>
        </w:rPr>
        <w:t xml:space="preserve">4) документы, содержащие характеристику предмета залога и его оценку;</w:t>
      </w:r>
    </w:p>
    <w:p>
      <w:pPr>
        <w:spacing w:after="60"/>
        <w:ind w:firstLine="567"/>
        <w:jc w:val="both"/>
      </w:pPr>
      <w:r>
        <w:rPr>
          <w:rFonts w:ascii="Arial" w:cs="Arial" w:eastAsia="Arial" w:hAnsi="Arial"/>
          <w:sz w:val="24"/>
          <w:szCs w:val="24"/>
        </w:rPr>
        <w:t xml:space="preserve">5) Национальный банк имеет право запросить другие документы, необходимые для рассмотрения вопроса о предоставлении кредита банку.</w:t>
      </w:r>
    </w:p>
    <w:p>
      <w:pPr>
        <w:spacing w:after="60"/>
        <w:ind w:firstLine="567"/>
        <w:jc w:val="both"/>
      </w:pPr>
      <w:r>
        <w:rPr>
          <w:rFonts w:ascii="Arial" w:cs="Arial" w:eastAsia="Arial" w:hAnsi="Arial"/>
          <w:sz w:val="24"/>
          <w:szCs w:val="24"/>
        </w:rPr>
        <w:t xml:space="preserve">11. Правление Национального банка имеет право установить определенные требования, которые банк должен исполнить перед началом рассмотрения вопроса о предоставлении кредита.</w:t>
      </w:r>
    </w:p>
    <w:p>
      <w:pPr>
        <w:spacing w:after="60"/>
        <w:ind w:firstLine="567"/>
        <w:jc w:val="both"/>
      </w:pPr>
      <w:r>
        <w:rPr>
          <w:rFonts w:ascii="Arial" w:cs="Arial" w:eastAsia="Arial" w:hAnsi="Arial"/>
          <w:sz w:val="24"/>
          <w:szCs w:val="24"/>
        </w:rPr>
        <w:t xml:space="preserve">12. В случае принятия Правлением Национального банка решения об отказе в предоставлении банку кредита, Национальный банк письменно уведомляет банк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zlenuvpgeu3qnxmejuqg">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Обеспечение кредита</w:t>
      </w:r>
    </w:p>
    <w:p>
      <w:pPr>
        <w:spacing w:after="60"/>
        <w:ind w:firstLine="567"/>
        <w:jc w:val="both"/>
      </w:pPr>
      <w:r>
        <w:rPr>
          <w:rFonts w:ascii="Arial" w:cs="Arial" w:eastAsia="Arial" w:hAnsi="Arial"/>
          <w:sz w:val="24"/>
          <w:szCs w:val="24"/>
        </w:rPr>
        <w:t xml:space="preserve">13. Обязательство банка по возврату кредита обеспечивается залогом.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14. В качестве обеспечения кредита может выступать залог в виде:</w:t>
      </w:r>
    </w:p>
    <w:p>
      <w:pPr>
        <w:spacing w:after="60"/>
        <w:ind w:firstLine="567"/>
        <w:jc w:val="both"/>
      </w:pPr>
      <w:r>
        <w:rPr>
          <w:rFonts w:ascii="Arial" w:cs="Arial" w:eastAsia="Arial" w:hAnsi="Arial"/>
          <w:sz w:val="24"/>
          <w:szCs w:val="24"/>
        </w:rPr>
        <w:t xml:space="preserve">1) государственных ценных бумаг Правительства Кыргызской Республики и нот Национального банка (далее ценные бумаги);</w:t>
      </w:r>
    </w:p>
    <w:p>
      <w:pPr>
        <w:spacing w:after="60"/>
        <w:ind w:firstLine="567"/>
        <w:jc w:val="both"/>
      </w:pPr>
      <w:r>
        <w:rPr>
          <w:rFonts w:ascii="Arial" w:cs="Arial" w:eastAsia="Arial" w:hAnsi="Arial"/>
          <w:sz w:val="24"/>
          <w:szCs w:val="24"/>
        </w:rPr>
        <w:t xml:space="preserve">2) депозитов в Национальном банке или в иной финансово-кредитной организации, приемлемой для Национального банка;</w:t>
      </w:r>
    </w:p>
    <w:p>
      <w:pPr>
        <w:spacing w:after="60"/>
        <w:ind w:firstLine="567"/>
        <w:jc w:val="both"/>
      </w:pPr>
      <w:r>
        <w:rPr>
          <w:rFonts w:ascii="Arial" w:cs="Arial" w:eastAsia="Arial" w:hAnsi="Arial"/>
          <w:sz w:val="24"/>
          <w:szCs w:val="24"/>
        </w:rPr>
        <w:t xml:space="preserve">3) золота и других драгоценных металлов;</w:t>
      </w:r>
    </w:p>
    <w:p>
      <w:pPr>
        <w:spacing w:after="60"/>
        <w:ind w:firstLine="567"/>
        <w:jc w:val="both"/>
      </w:pPr>
      <w:r>
        <w:rPr>
          <w:rFonts w:ascii="Arial" w:cs="Arial" w:eastAsia="Arial" w:hAnsi="Arial"/>
          <w:sz w:val="24"/>
          <w:szCs w:val="24"/>
        </w:rPr>
        <w:t xml:space="preserve">4) иностранной валюты;</w:t>
      </w:r>
    </w:p>
    <w:p>
      <w:pPr>
        <w:spacing w:after="60"/>
        <w:ind w:firstLine="567"/>
        <w:jc w:val="both"/>
      </w:pPr>
      <w:r>
        <w:rPr>
          <w:rFonts w:ascii="Arial" w:cs="Arial" w:eastAsia="Arial" w:hAnsi="Arial"/>
          <w:sz w:val="24"/>
          <w:szCs w:val="24"/>
        </w:rPr>
        <w:t xml:space="preserve">5) прав требования по кредитному портфелю банка;</w:t>
      </w:r>
    </w:p>
    <w:p>
      <w:pPr>
        <w:spacing w:after="60"/>
        <w:ind w:firstLine="567"/>
        <w:jc w:val="both"/>
      </w:pPr>
      <w:r>
        <w:rPr>
          <w:rFonts w:ascii="Arial" w:cs="Arial" w:eastAsia="Arial" w:hAnsi="Arial"/>
          <w:sz w:val="24"/>
          <w:szCs w:val="24"/>
        </w:rPr>
        <w:t xml:space="preserve">6) других видов активов и имущества, приемлемых для Национального банка, в случаях, установленных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jrmjfhmfdtludgcaw9-vu">
        <w:r>
          <w:rPr>
            <w:rFonts w:ascii="Arial" w:cs="Arial" w:eastAsia="Arial" w:hAnsi="Arial"/>
            <w:i/>
            <w:iCs/>
            <w:color w:val="1D4ED8"/>
            <w:sz w:val="24"/>
            <w:szCs w:val="24"/>
            <w:u w:val="single"/>
          </w:rPr>
          <w:t xml:space="preserve">31 мая 2017 года № 21/16,</w:t>
        </w:r>
      </w:hyperlink>
      <w:hyperlink w:history="1" r:id="rIdxiaqtqhypjmcuenf9pwkh">
        <w:r>
          <w:rPr>
            <w:rFonts w:ascii="Arial" w:cs="Arial" w:eastAsia="Arial" w:hAnsi="Arial"/>
            <w:i/>
            <w:iCs/>
            <w:color w:val="1D4ED8"/>
            <w:sz w:val="24"/>
            <w:szCs w:val="24"/>
            <w:u w:val="single"/>
          </w:rPr>
          <w:t xml:space="preserve">25 октября 2017 года № 2017-П-09/45-9)</w:t>
        </w:r>
      </w:hyperlink>
    </w:p>
    <w:p>
      <w:pPr>
        <w:spacing w:after="60"/>
        <w:ind w:firstLine="567"/>
        <w:jc w:val="both"/>
      </w:pPr>
      <w:r>
        <w:rPr>
          <w:rFonts w:ascii="Arial" w:cs="Arial" w:eastAsia="Arial" w:hAnsi="Arial"/>
          <w:sz w:val="24"/>
          <w:szCs w:val="24"/>
        </w:rPr>
        <w:t xml:space="preserve">15. Предмет залога должен принадлежать залогодателю на праве собственности и не быть обремененным другими обязательствами.</w:t>
      </w:r>
    </w:p>
    <w:p>
      <w:pPr>
        <w:spacing w:after="60"/>
        <w:ind w:firstLine="567"/>
        <w:jc w:val="both"/>
      </w:pPr>
      <w:r>
        <w:rPr>
          <w:rFonts w:ascii="Arial" w:cs="Arial" w:eastAsia="Arial" w:hAnsi="Arial"/>
          <w:sz w:val="24"/>
          <w:szCs w:val="24"/>
        </w:rPr>
        <w:t xml:space="preserve">16. Недостаточное обеспечение является основанием для отказа в предоставлении запрашиваемой банком суммы кредита.</w:t>
      </w:r>
    </w:p>
    <w:p>
      <w:pPr>
        <w:spacing w:after="200" w:before="200"/>
        <w:jc w:val="center"/>
      </w:pPr>
      <w:r>
        <w:rPr>
          <w:rFonts w:ascii="Arial" w:cs="Arial" w:eastAsia="Arial" w:hAnsi="Arial"/>
          <w:b/>
          <w:bCs/>
          <w:sz w:val="24"/>
          <w:szCs w:val="24"/>
        </w:rPr>
        <w:t xml:space="preserve">III. Порядок предоставления и погашения кредита</w:t>
      </w:r>
    </w:p>
    <w:p>
      <w:pPr>
        <w:spacing w:after="60"/>
        <w:ind w:firstLine="567"/>
        <w:jc w:val="both"/>
      </w:pPr>
      <w:r>
        <w:rPr>
          <w:rFonts w:ascii="Arial" w:cs="Arial" w:eastAsia="Arial" w:hAnsi="Arial"/>
          <w:sz w:val="24"/>
          <w:szCs w:val="24"/>
        </w:rPr>
        <w:t xml:space="preserve">17. Кредит может выдаваться траншами (очередями) в рамках кредитной линии, открытой согласно заключенному Соглашению об открытии кредитной линии (далее - Соглашение). 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3zbigprpleg1i7xlh1ei">
        <w:r>
          <w:rPr>
            <w:rFonts w:ascii="Arial" w:cs="Arial" w:eastAsia="Arial" w:hAnsi="Arial"/>
            <w:i/>
            <w:iCs/>
            <w:color w:val="1D4ED8"/>
            <w:sz w:val="24"/>
            <w:szCs w:val="24"/>
            <w:u w:val="single"/>
          </w:rPr>
          <w:t xml:space="preserve">2 декабря 2015 года № 74/4)</w:t>
        </w:r>
      </w:hyperlink>
    </w:p>
    <w:p>
      <w:pPr>
        <w:spacing w:after="60"/>
        <w:ind w:firstLine="567"/>
        <w:jc w:val="both"/>
      </w:pPr>
      <w:r>
        <w:rPr>
          <w:rFonts w:ascii="Arial" w:cs="Arial" w:eastAsia="Arial" w:hAnsi="Arial"/>
          <w:sz w:val="24"/>
          <w:szCs w:val="24"/>
        </w:rPr>
        <w:t xml:space="preserve">18. Кредитная линия открывается на срок, определяемый Правлением Национального банка. Транши в рамках кредитной линии выдаются на срок, не превышающий дату закрытия кредитной линии. Дата закрытия кредитной линии и/или дата окончательного погашения траншей, выданных в рамках кредитной линии, могут быть продлены по решению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_a9yilnqyrcgbnjflhrw">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Рассмотрение вопроса о предоставлении транша в рамках кредитной линии осуществляется на основании Заявки банка на получение транша (далее - Заявка). Заявка предоставляется в Национальный банк на бумажном носителе. Предоставление транша осуществляется на основании заключенного между Национальным банком и банком Кредитного договора о предоставлении кредита (транша).</w:t>
      </w:r>
    </w:p>
    <w:p>
      <w:pPr>
        <w:spacing w:after="60"/>
        <w:ind w:firstLine="567"/>
        <w:jc w:val="both"/>
      </w:pPr>
      <w:r>
        <w:rPr>
          <w:rFonts w:ascii="Arial" w:cs="Arial" w:eastAsia="Arial" w:hAnsi="Arial"/>
          <w:sz w:val="24"/>
          <w:szCs w:val="24"/>
        </w:rPr>
        <w:t xml:space="preserve">20. Погашение основной суммы транша и начисленных процентов по нему производятся на условиях, определенных в Соглашении и Кредитных договорах.</w:t>
      </w:r>
    </w:p>
    <w:p>
      <w:pPr>
        <w:spacing w:after="60"/>
        <w:ind w:firstLine="567"/>
        <w:jc w:val="both"/>
      </w:pPr>
      <w:r>
        <w:rPr>
          <w:rFonts w:ascii="Arial" w:cs="Arial" w:eastAsia="Arial" w:hAnsi="Arial"/>
          <w:sz w:val="24"/>
          <w:szCs w:val="24"/>
        </w:rPr>
        <w:t xml:space="preserve">21. Национальный банк, в случае неисполнения банком своих обязательств по возврату кредита, нецелевого использования кредита, выданного банку в соответствии с настоящим Положением, может удовлетворить свои требования за счет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21.1. В случае нецелевого использования предоставленных Национальным банком средств и/или предоставлении недостоверной информации по залоговому обеспечению, а также по использованию предоставленных средств, Национальный банк вправе применить меры воздействия, предусмотренные нормативными актами Национального банка, а также предъявить требование о досрочном возврате предоставленных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f6mvho9rweezxrmr4797">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Расчет процентов по кредиту</w:t>
      </w:r>
    </w:p>
    <w:p>
      <w:pPr>
        <w:spacing w:after="60"/>
        <w:ind w:firstLine="567"/>
        <w:jc w:val="both"/>
      </w:pPr>
      <w:r>
        <w:rPr>
          <w:rFonts w:ascii="Arial" w:cs="Arial" w:eastAsia="Arial" w:hAnsi="Arial"/>
          <w:sz w:val="24"/>
          <w:szCs w:val="24"/>
        </w:rPr>
        <w:t xml:space="preserve">22. Размер процентной ставки по кредиту устанавливается Правлением Национального банка. Проценты на сумму каждого транша кредита начисляются по формуле простых процентов за период фактического пользования выданным траншем,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T)/360/100,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23. В подсчет фактического числа календарных дней, в течение которых банк пользовался выданным траншем,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V. Особые условия</w:t>
      </w:r>
    </w:p>
    <w:p>
      <w:pPr>
        <w:spacing w:after="60"/>
        <w:ind w:firstLine="567"/>
        <w:jc w:val="both"/>
      </w:pPr>
      <w:r>
        <w:rPr>
          <w:rFonts w:ascii="Arial" w:cs="Arial" w:eastAsia="Arial" w:hAnsi="Arial"/>
          <w:sz w:val="24"/>
          <w:szCs w:val="24"/>
        </w:rPr>
        <w:t xml:space="preserve">24. Национальный банк имеет право в любое время, по своему усмотрению, проводить проверку деятельности банка.</w:t>
      </w:r>
    </w:p>
    <w:p>
      <w:pPr>
        <w:spacing w:after="60"/>
        <w:ind w:firstLine="567"/>
        <w:jc w:val="both"/>
      </w:pPr>
      <w:r>
        <w:rPr>
          <w:rFonts w:ascii="Arial" w:cs="Arial" w:eastAsia="Arial" w:hAnsi="Arial"/>
          <w:sz w:val="24"/>
          <w:szCs w:val="24"/>
        </w:rPr>
        <w:t xml:space="preserve">25. В период действия кредитной линии, банк обязан соблюдать все требования, определенные Соглашением, Кредитными договорами и Договорами залога, а также решениями Национального банка.</w:t>
      </w:r>
    </w:p>
    <w:p>
      <w:pPr>
        <w:spacing w:after="60"/>
        <w:ind w:firstLine="567"/>
        <w:jc w:val="both"/>
      </w:pPr>
      <w:r>
        <w:rPr>
          <w:rFonts w:ascii="Arial" w:cs="Arial" w:eastAsia="Arial" w:hAnsi="Arial"/>
          <w:sz w:val="24"/>
          <w:szCs w:val="24"/>
        </w:rPr>
        <w:t xml:space="preserve">26. При несоблюдении банком в период действия кредитной линии требований, определенных решениями Национального банка, Соглашением, Кредитными договорами, и/или Договорами залога,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 При неисполнении банком требования о досрочном погашении обязательств, Национальный банк может начать процедуру внесудебного обращения взыскания на предмет залога или в безакцептном порядке списать с корреспондентского счета в Национальном банке сумму, необходимую для погашения задолженности банка.</w:t>
      </w:r>
    </w:p>
    <w:p>
      <w:pPr>
        <w:spacing w:after="200" w:before="200"/>
        <w:jc w:val="center"/>
      </w:pPr>
      <w:r>
        <w:rPr>
          <w:rFonts w:ascii="Arial" w:cs="Arial" w:eastAsia="Arial" w:hAnsi="Arial"/>
          <w:b/>
          <w:bCs/>
          <w:sz w:val="24"/>
          <w:szCs w:val="24"/>
        </w:rPr>
        <w:t xml:space="preserve">VI. Ответственность и противоправные действия</w:t>
      </w:r>
    </w:p>
    <w:p>
      <w:pPr>
        <w:spacing w:after="60"/>
        <w:ind w:firstLine="567"/>
        <w:jc w:val="both"/>
      </w:pPr>
      <w:r>
        <w:rPr>
          <w:rFonts w:ascii="Arial" w:cs="Arial" w:eastAsia="Arial" w:hAnsi="Arial"/>
          <w:sz w:val="24"/>
          <w:szCs w:val="24"/>
        </w:rPr>
        <w:t xml:space="preserve">27. Национальный банк не несет ответственности за какие-либо убытки, возникшие в результате неисполнения или частичного исполнения банком, условий предоставления кредита.</w:t>
      </w:r>
    </w:p>
    <w:p>
      <w:pPr>
        <w:spacing w:after="60"/>
        <w:ind w:firstLine="567"/>
        <w:jc w:val="both"/>
      </w:pPr>
      <w:r>
        <w:rPr>
          <w:rFonts w:ascii="Arial" w:cs="Arial" w:eastAsia="Arial" w:hAnsi="Arial"/>
          <w:sz w:val="24"/>
          <w:szCs w:val="24"/>
        </w:rPr>
        <w:t xml:space="preserve">28.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w:t>
      </w:r>
    </w:p>
    <w:p>
      <w:pPr>
        <w:spacing w:after="60"/>
        <w:ind w:firstLine="567"/>
        <w:jc w:val="both"/>
      </w:pPr>
      <w:r>
        <w:rPr>
          <w:rFonts w:ascii="Arial" w:cs="Arial" w:eastAsia="Arial" w:hAnsi="Arial"/>
          <w:sz w:val="24"/>
          <w:szCs w:val="24"/>
        </w:rPr>
        <w:t xml:space="preserve">29. На любой стадии получения и использования кредита Национальный банк вправе применить в отношении банка меры воздействия, предусмотренные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Ответственность за соблюдение целевого использование кредита и всех иных условий кредита несет банк.</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gfzw9hdbg_k-cdcq95oqy">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со связанными с банком лицами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выплачивать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с корреспондентского счета Банка, открытом в Национальном банке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порядке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 на дату списания/изъятия.</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hmptzca8fr9i7siiivmlm">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(ценных бумаг) к Кредитному договору о предоставлении кредита/транша
 № ______ от "___" _______________ г.</w:t>
      </w:r>
    </w:p>
    <w:p>
      <w:pPr>
        <w:spacing w:after="200"/>
        <w:jc w:val="center"/>
      </w:pPr>
      <w:r>
        <w:rPr>
          <w:rFonts w:ascii="Arial" w:cs="Arial" w:eastAsia="Arial" w:hAnsi="Arial"/>
          <w:i/>
          <w:iCs/>
          <w:sz w:val="24"/>
          <w:szCs w:val="24"/>
        </w:rPr>
        <w:t xml:space="preserve"> (В редакции постановлений Правления Нацбанка КР от </w:t>
      </w:r>
      <w:hyperlink w:history="1" r:id="rIdkk-r-vf4yqchgotomlofz">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 2</w:t>
      </w:r>
      <w:hyperlink w:history="1" r:id="rIdqf8u_7exmh44cu770hpur">
        <w:r>
          <w:rPr>
            <w:rFonts w:ascii="Arial" w:cs="Arial" w:eastAsia="Arial" w:hAnsi="Arial"/>
            <w:i/>
            <w:iCs/>
            <w:color w:val="1D4ED8"/>
            <w:sz w:val="24"/>
            <w:szCs w:val="24"/>
            <w:u w:val="single"/>
          </w:rPr>
          <w:t xml:space="preserve">5 октября 2017 года № 2017-П-09/45-9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r>
              <w:rPr>
                <w:rFonts w:ascii="Arial" w:cs="Arial" w:eastAsia="Arial" w:hAnsi="Arial"/>
                <w:sz w:val="24"/>
                <w:szCs w:val="24"/>
              </w:rPr>
              <w:t xml:space="preserve"> </w:t>
            </w:r>
            <w:r>
              <w:rPr>
                <w:rFonts w:ascii="Arial" w:cs="Arial" w:eastAsia="Arial" w:hAnsi="Arial"/>
                <w:b/>
                <w:bCs/>
                <w:sz w:val="24"/>
                <w:szCs w:val="24"/>
              </w:rPr>
              <w:t xml:space="preserve">(штук)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с более поздней датой погашения. При этом замену ценных бумаг необходимо осуществить за 30 (тридцать) календарных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залоговый субсчет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ценных бумаг, заложенных в соответствии с настоящим Договором, с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frqbkcd26kauiezlzpxer">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на русском языке, в _______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iai0mcku6d2quxb-ofvaf">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w:t>
      </w:r>
      <w:hyperlink w:history="1" r:id="rIdhvf5vxl5v-li9qwmstrk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w:t>
      </w:r>
      <w:hyperlink w:history="1" r:id="rIdkhif8iedq2taikifwnp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w:t>
      </w:r>
      <w:hyperlink w:history="1" r:id="rIdri5stjjdujv-p6h43nqi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ckhx--bkxq9b7jgsjrhha">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Рекомендациях по формированию портфеля кредитов, соответствующих определенным характеристикам, утвержденными постановлением Комитета по надзору Национального банка от 16.06.2011 г. № 12/2.</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связанным лицом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w:t>
      </w:r>
      <w:hyperlink w:history="1" r:id="rIdvheggt2tnfpyb7vtns7r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747"/>
        <w:gridCol w:w="1466"/>
        <w:gridCol w:w="808"/>
        <w:gridCol w:w="977"/>
        <w:gridCol w:w="1983"/>
        <w:gridCol w:w="114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залога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0,00</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385"/>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нац.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ин.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w:t>
      </w:r>
    </w:p>
    <w:p>
      <w:pPr>
        <w:spacing w:after="60"/>
        <w:ind w:firstLine="567"/>
        <w:jc w:val="both"/>
      </w:pPr>
      <w:r>
        <w:rPr>
          <w:rFonts w:ascii="Arial" w:cs="Arial" w:eastAsia="Arial" w:hAnsi="Arial"/>
          <w:sz w:val="24"/>
          <w:szCs w:val="24"/>
        </w:rPr>
        <w:t xml:space="preserve">(подпись) 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left"/>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сомах</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5xwy8c9pyrk8gzqg99t">
      <w:r>
        <w:rPr>
          <w:rFonts w:ascii="Arial" w:cs="Arial" w:eastAsia="Arial" w:hAnsi="Arial"/>
          <w:color w:val="132D3F"/>
          <w:sz w:val="16"/>
          <w:szCs w:val="16"/>
          <w:u w:val="single"/>
        </w:rPr>
        <w:t xml:space="preserve">dalil.kg/document/303024</w:t>
      </w:r>
    </w:hyperlink>
  </w:p>
  <w:p>
    <w:pPr>
      <w:spacing w:after="0" w:before="40"/>
      <w:jc w:val="center"/>
    </w:pPr>
    <w:hyperlink w:history="1" r:id="rIdap8gpu2ev1pofzx7xhc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xcw_0uep5hrnrkacrp" Type="http://schemas.openxmlformats.org/officeDocument/2006/relationships/hyperlink" Target="https://dalil.kg/document/303024" TargetMode="External"/><Relationship Id="rIdlilsrxl_yxn9enesskcnj" Type="http://schemas.openxmlformats.org/officeDocument/2006/relationships/hyperlink" Target="https://dalil.kg/document/303025" TargetMode="External"/><Relationship Id="rIddec4fhliid-ddzs3osnhh" Type="http://schemas.openxmlformats.org/officeDocument/2006/relationships/hyperlink" Target="https://dalil.kg/document/860268" TargetMode="External"/><Relationship Id="rIdz9p73ubjhcxv9cye_5eev" Type="http://schemas.openxmlformats.org/officeDocument/2006/relationships/hyperlink" Target="https://dalil.kg/document/111486" TargetMode="External"/><Relationship Id="rIdr7pviwd298amjdqutegaf" Type="http://schemas.openxmlformats.org/officeDocument/2006/relationships/hyperlink" Target="https://dalil.kg/document/860268" TargetMode="External"/><Relationship Id="rIdjtt_bfuv7w9lzmc_tg8r8" Type="http://schemas.openxmlformats.org/officeDocument/2006/relationships/hyperlink" Target="https://dalil.kg/document/860268" TargetMode="External"/><Relationship Id="rIdpvwa72bhp3jgnbchy898s" Type="http://schemas.openxmlformats.org/officeDocument/2006/relationships/hyperlink" Target="https://dalil.kg/document/860268" TargetMode="External"/><Relationship Id="rId_g0z5dwrrfuywx3hb3ris" Type="http://schemas.openxmlformats.org/officeDocument/2006/relationships/hyperlink" Target="https://dalil.kg/document/860268" TargetMode="External"/><Relationship Id="rIdazlenuvpgeu3qnxmejuqg" Type="http://schemas.openxmlformats.org/officeDocument/2006/relationships/hyperlink" Target="https://dalil.kg/document/860268" TargetMode="External"/><Relationship Id="rIdjrmjfhmfdtludgcaw9-vu" Type="http://schemas.openxmlformats.org/officeDocument/2006/relationships/hyperlink" Target="https://dalil.kg/document/860268" TargetMode="External"/><Relationship Id="rIdxiaqtqhypjmcuenf9pwkh" Type="http://schemas.openxmlformats.org/officeDocument/2006/relationships/hyperlink" Target="https://dalil.kg/document/800019" TargetMode="External"/><Relationship Id="rIds3zbigprpleg1i7xlh1ei" Type="http://schemas.openxmlformats.org/officeDocument/2006/relationships/hyperlink" Target="https://dalil.kg/document/860267" TargetMode="External"/><Relationship Id="rIdq_a9yilnqyrcgbnjflhrw" Type="http://schemas.openxmlformats.org/officeDocument/2006/relationships/hyperlink" Target="https://dalil.kg/document/860268" TargetMode="External"/><Relationship Id="rId1f6mvho9rweezxrmr4797" Type="http://schemas.openxmlformats.org/officeDocument/2006/relationships/hyperlink" Target="https://dalil.kg/document/860268" TargetMode="External"/><Relationship Id="rIdgfzw9hdbg_k-cdcq95oqy" Type="http://schemas.openxmlformats.org/officeDocument/2006/relationships/hyperlink" Target="https://dalil.kg/document/860268" TargetMode="External"/><Relationship Id="rIdhmptzca8fr9i7siiivmlm" Type="http://schemas.openxmlformats.org/officeDocument/2006/relationships/hyperlink" Target="https://dalil.kg/document/860268" TargetMode="External"/><Relationship Id="rIdkk-r-vf4yqchgotomlofz" Type="http://schemas.openxmlformats.org/officeDocument/2006/relationships/hyperlink" Target="https://dalil.kg/document/860268" TargetMode="External"/><Relationship Id="rIdqf8u_7exmh44cu770hpur" Type="http://schemas.openxmlformats.org/officeDocument/2006/relationships/hyperlink" Target="https://dalil.kg/document/800019" TargetMode="External"/><Relationship Id="rIdfrqbkcd26kauiezlzpxer" Type="http://schemas.openxmlformats.org/officeDocument/2006/relationships/hyperlink" Target="https://dalil.kg/document/860268" TargetMode="External"/><Relationship Id="rIdiai0mcku6d2quxb-ofvaf" Type="http://schemas.openxmlformats.org/officeDocument/2006/relationships/hyperlink" Target="https://dalil.kg/document/860268" TargetMode="External"/><Relationship Id="rIdhvf5vxl5v-li9qwmstrkb" Type="http://schemas.openxmlformats.org/officeDocument/2006/relationships/hyperlink" Target="https://dalil.kg/document/1644" TargetMode="External"/><Relationship Id="rIdkhif8iedq2taikifwnpdn" Type="http://schemas.openxmlformats.org/officeDocument/2006/relationships/hyperlink" Target="https://dalil.kg/document/1644" TargetMode="External"/><Relationship Id="rIdri5stjjdujv-p6h43nqiz" Type="http://schemas.openxmlformats.org/officeDocument/2006/relationships/hyperlink" Target="https://dalil.kg/document/1644" TargetMode="External"/><Relationship Id="rIdckhx--bkxq9b7jgsjrhha" Type="http://schemas.openxmlformats.org/officeDocument/2006/relationships/hyperlink" Target="https://dalil.kg/document/860268" TargetMode="External"/><Relationship Id="rIdvheggt2tnfpyb7vtns7r7" Type="http://schemas.openxmlformats.org/officeDocument/2006/relationships/hyperlink" Target="https://dalil.kg/document/62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5xwy8c9pyrk8gzqg99t" Type="http://schemas.openxmlformats.org/officeDocument/2006/relationships/hyperlink" Target="https://dalil.kg/document/303024" TargetMode="External"/><Relationship Id="rIdap8gpu2ev1pofzx7xhc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2026-09-24T23:32:21.524Z</dcterms:created>
  <dcterms:modified xsi:type="dcterms:W3CDTF">2026-09-24T23:32:21.524Z</dcterms:modified>
</cp:coreProperties>
</file>

<file path=docProps/custom.xml><?xml version="1.0" encoding="utf-8"?>
<Properties xmlns="http://schemas.openxmlformats.org/officeDocument/2006/custom-properties" xmlns:vt="http://schemas.openxmlformats.org/officeDocument/2006/docPropsVTypes"/>
</file>