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l-k1pxaagkbqipcm1r2vf">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  3июля 2002 года. Регистрационный номер 101-02      г.Бишкек от 10 июня 2002 года № 240          ПРИКАЗ МИНИСТЕРСТВА ЗДРАВООХРАНЕНИЯ КЫРГЫЗСКОЙ РЕСПУБЛИКИ                Об эпидемиологическом надзоре за бруцеллезом                        в Кыргызской Республике      Эпидемиологическая  ситуация по бруцеллезу  в  республике  остаетсякрайне неблагоприятной.   Бруцеллезная    инфекция   представляет   важную    проблему    дляздравоохранения  многих  стран. Актуальность проблемы  для  КыргызскойРеспублики,   являющейся  гиперэпизоотичной   зоной   по   бруцеллезу,определяется существенным ухудшением эпидемиологической ситуации.   По  уровню  заболеваемости республика занимает первое  место  средистран  СНГ. За последние пять лет отмечается ее рост на 28,6%. В  2001г. зарегистрировано 1819 случаев заболеваний бруцеллезом против 1219 в2000 г.   Заболеваемость   бруцеллезом  в  республике  возросла   как   средивзрослого,  так и детского населения. Дети и подростки составляют  30%от  общего числа заболевших, более 70% составляют лица трудоспособноговозраста.  Особую озабоченность вызывают случаи семейного  заболеваниябруцеллезом.   Закономерные  обострения  инфекционного процесса  и  наклонность  кхронизации  нередко  приводят  к  стойкой  утрате  трудоспособности  иинвалидности  (более  30%), что определяет значительный  экономическийущерб.  Осложнения после перенесенного бруцеллеза приводят к поражениюпериферической,  центральной нервной системы  и  мочеполовой  системы,вызывая прерывание беременности у женщин и бесплодие у мужчин.   Основным   источником   заболевания  людей   бруцеллезом   являютсясельскохозяйственные  животные,  в  частности,  мелкий  рогатый  скот.Заражение  также происходит при употреблении сырых молочных  продуктовчему   способствует  широко  распространенная  уличная  торговля   безпредварительной   ветеринарно-санитарной   экспертизы    приводит    кинфицированию городского населения.   В  республике ослаблена работа по санитарному просвещению населенияпо  бруцеллезу. В сложившейся ситуации возрастает значение  проведениякомплекса профилактических мероприятий в республике.   В  целях  совершенствования  и  координации  деятельности  лечебно-профилактических учреждений по профилактике бруцеллеза приказываю:   1. Утвердить прилагаемые:   1.1.</w:t>
      </w:r>
    </w:p>
    <w:p>
      <w:r>
        <w:rPr>
          <w:rFonts w:ascii="Arial" w:cs="Arial" w:eastAsia="Arial" w:hAnsi="Arial"/>
          <w:sz w:val="24"/>
          <w:szCs w:val="24"/>
        </w:rPr>
        <w:t xml:space="preserve">Руководство</w:t>
      </w:r>
    </w:p>
    <w:p>
      <w:r>
        <w:rPr>
          <w:rFonts w:ascii="Arial" w:cs="Arial" w:eastAsia="Arial" w:hAnsi="Arial"/>
          <w:sz w:val="24"/>
          <w:szCs w:val="24"/>
        </w:rPr>
        <w:t xml:space="preserve">по эпиднадзору за бруцеллезом.   1.2.</w:t>
      </w:r>
    </w:p>
    <w:p>
      <w:r>
        <w:rPr>
          <w:rFonts w:ascii="Arial" w:cs="Arial" w:eastAsia="Arial" w:hAnsi="Arial"/>
          <w:sz w:val="24"/>
          <w:szCs w:val="24"/>
        </w:rPr>
        <w:t xml:space="preserve">Руководство</w:t>
      </w:r>
    </w:p>
    <w:p>
      <w:r>
        <w:rPr>
          <w:rFonts w:ascii="Arial" w:cs="Arial" w:eastAsia="Arial" w:hAnsi="Arial"/>
          <w:sz w:val="24"/>
          <w:szCs w:val="24"/>
        </w:rPr>
        <w:t xml:space="preserve">по   патогенезу,    клинике,    дифференциальнойдиагностике и лечению бруцеллеза.   1.3.</w:t>
      </w:r>
    </w:p>
    <w:p>
      <w:r>
        <w:rPr>
          <w:rFonts w:ascii="Arial" w:cs="Arial" w:eastAsia="Arial" w:hAnsi="Arial"/>
          <w:sz w:val="24"/>
          <w:szCs w:val="24"/>
        </w:rPr>
        <w:t xml:space="preserve">Руководство</w:t>
      </w:r>
    </w:p>
    <w:p>
      <w:r>
        <w:rPr>
          <w:rFonts w:ascii="Arial" w:cs="Arial" w:eastAsia="Arial" w:hAnsi="Arial"/>
          <w:sz w:val="24"/>
          <w:szCs w:val="24"/>
        </w:rPr>
        <w:t xml:space="preserve">по лабораторной диагностике бруцеллеза.   2.   Руководителям  НЦ, НИИ, республиканских учреждений, директорамобластных  объединенных больниц, ДЗ и ФОМС мэрии г.Бишкек,  директорамЦСМ,  руководителям  ГСВ,  главным Государственным  санитарным  врачамобластей, городов и районов:   2.1. Принять к исполнению данный приказ.   2.2.  Обеспечить  ежегодную  подготовку медицинских  работников  повопросам   диагностики,   профилактики,   организации   и   проведенияпротивобруцеллезных мероприятий с последующей аттестацией.   2.3. Обеспечить сбор информации о состоянии болезненности населения(показатели  хронического  бруцеллеза) и представить  в  ДГСЭН  до  20января 2003 г. (при сдаче годового отчета).   2.4.    Главным    врачам   областных   и   Бишкекской    городскойсанэпидстанций:   2.4.1. Вести ежемесячную взаимоинформацию с ветеринарной службой  иобеспечить    проведение   совместных   мероприятий   по   недопущениюраспространения заболеваемости бруцеллезом.   2.4.2.  Проводить  совместную  с  ветеринарной  службой  разработкупланов мероприятий по оздоровлению обслуживаемой территории.   3.    Генеральному    директору   Департамента    госсанэпиднадзора(Абдикаримов С.Т.), и.о. директора Республиканского центра карантинныхи особо опасных инфекций (Гайбулин Д.Ш.):   3.1. Обеспечить оказание оперативной, консультативно-методической ипрактической   помощи   учреждениям   здравоохранения   по    вопросаморганизации противобруцеллезных мероприятий.   3.2.   Проводить  контроль  профессиональных  знаний  и   повышениеквалификации работников здравоохранения всех уровней.   4.  Директору  Центра  укрепления  здоровья  (Айтмурзаева  Г.А.)  иглавным врачам санэпидстанций:   4.1.   Обеспечить   методическую  помощь   лечебно-профилактическимучреждениям   в   организации   социальной   мобилизации    населения,направленных на борьбу и профилактику бруцеллеза.   4.2.  Усилить  работу по санитарному просвещению  населения  противбруцеллеза.   5. Контроль за выполнением настоящего приказа возложить на ГлавногоГосударственного  санитарного врача Республики,  заместителя  МинистраЛ.В.Штейнке.      Министр здравоохранения   Кыргызской Республики                  Т.Мейманалиев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5uq1rihwnau3pr9gchpy">
      <w:r>
        <w:rPr>
          <w:rFonts w:ascii="Arial" w:cs="Arial" w:eastAsia="Arial" w:hAnsi="Arial"/>
          <w:color w:val="132D3F"/>
          <w:sz w:val="16"/>
          <w:szCs w:val="16"/>
          <w:u w:val="single"/>
        </w:rPr>
        <w:t xml:space="preserve">dalil.kg/document/30664</w:t>
      </w:r>
    </w:hyperlink>
  </w:p>
  <w:p>
    <w:pPr>
      <w:spacing w:after="0" w:before="40"/>
      <w:jc w:val="center"/>
    </w:pPr>
    <w:hyperlink w:history="1" r:id="rIdpg0eucw7mnumecxbjele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k1pxaagkbqipcm1r2vf"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5uq1rihwnau3pr9gchpy" Type="http://schemas.openxmlformats.org/officeDocument/2006/relationships/hyperlink" Target="https://dalil.kg/document/30664" TargetMode="External"/><Relationship Id="rIdpg0eucw7mnumecxbjele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2026-10-01T10:54:35.472Z</dcterms:created>
  <dcterms:modified xsi:type="dcterms:W3CDTF">2026-10-01T10:54:35.472Z</dcterms:modified>
</cp:coreProperties>
</file>

<file path=docProps/custom.xml><?xml version="1.0" encoding="utf-8"?>
<Properties xmlns="http://schemas.openxmlformats.org/officeDocument/2006/custom-properties" xmlns:vt="http://schemas.openxmlformats.org/officeDocument/2006/docPropsVTypes"/>
</file>