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27 апреля 2004 года. Регистрационный номер 53-04    г.Бишкек от 27 марта 2004 года N 6/5                ПОСТАНОВЛЕНИЕ ПРАВЛЕНИЯ НАЦИОНАЛЬНОГО БАНКА                         КЫРГЫЗСКОЙ РЕСПУБЛИКИ            О Требованиях к банкам по работе с ценными бумагами    Рассмотрев проект Требований к банкам по работе с ценными  бумагами,Правление Национального банка Кыргызской Республики постановляет:  1.  Утвердить  прилагаемые </w:t>
      </w:r>
      <w:hyperlink w:history="1" r:id="rIdawq_j0on-iobej2bv-jgy">
        <w:r>
          <w:rPr>
            <w:rFonts w:ascii="Arial" w:cs="Arial" w:eastAsia="Arial" w:hAnsi="Arial"/>
            <w:color w:val="1D4ED8"/>
            <w:sz w:val="24"/>
            <w:szCs w:val="24"/>
            <w:u w:val="single"/>
          </w:rPr>
          <w:t xml:space="preserve">Требования</w:t>
        </w:r>
      </w:hyperlink>
      <w:r>
        <w:rPr>
          <w:rFonts w:ascii="Arial" w:cs="Arial" w:eastAsia="Arial" w:hAnsi="Arial"/>
          <w:sz w:val="24"/>
          <w:szCs w:val="24"/>
        </w:rPr>
        <w:t xml:space="preserve"> к банкам по работе  с  ценнымибумагами.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опубликования вофициальных изданиях Национального банка Кыргызской Республики,  послегосударственной   регистрации   в  Министерстве   юстиции   КыргызскойРеспублики.  4. Управлению методологии надзора и лицензирования довести настоящеепостановление  до  сведения областных (региональных) управлений  НБКР,коммерческих банков, АООТ РСК, КСФК и ФКПРКС.  5.  Контроль  за исполнением настоящего постановления  возложить  наШаршекееву   К.Ш.,   заместителя  Председателя   Национального   банкаКыргызской Республики.    Председатель Правления Национального  банка Кыргызской Республики                               У.Сарбанов   Зарегистрировано  в  Министерстве юстиции Кыргызской  Республики  27 апреля 2004 года. Регистрационный номер 53-04      </w:t>
      </w:r>
      <w:r>
        <w:rPr>
          <w:rFonts w:ascii="Arial" w:cs="Arial" w:eastAsia="Arial" w:hAnsi="Arial"/>
          <w:sz w:val="24"/>
          <w:szCs w:val="24"/>
        </w:rPr>
        <w:t xml:space="preserve">                                                 Утверждены                                             постановлением Правления                                                  Национального банка                                                Кыргызской Республики                                          </w:t>
      </w:r>
      <w:hyperlink w:history="1" r:id="rIdl-zx6s10wdcpdbpglsj-a">
        <w:r>
          <w:rPr>
            <w:rFonts w:ascii="Arial" w:cs="Arial" w:eastAsia="Arial" w:hAnsi="Arial"/>
            <w:color w:val="1D4ED8"/>
            <w:sz w:val="24"/>
            <w:szCs w:val="24"/>
            <w:u w:val="single"/>
          </w:rPr>
          <w:t xml:space="preserve">от 27 марта 2004 года N 6/5</w:t>
        </w:r>
      </w:hyperlink>
      <w:r>
        <w:rPr>
          <w:rFonts w:ascii="Arial" w:cs="Arial" w:eastAsia="Arial" w:hAnsi="Arial"/>
          <w:sz w:val="24"/>
          <w:szCs w:val="24"/>
        </w:rPr>
        <w:t xml:space="preserve">                                ТРЕБОВАНИЯ                 к банкам по работе с ценными бумагами    1. Общие положения  2. Основные понятия, применяемые в настоящих                              Требованиях  3. Инвестиционная политика  4. Надзор со стороны Совета директоров и Правления                                 банка  5. Система внутреннего контроля  6. Регистрационные записи  7. Квалификация банковского персонала  8. Внешний брокер/дилер  9. Классификация ценных бумаг по назначению и                       предоставление отчетности  Приложение 1. Виды рисков, присущих операциям с ценными бумагами    Настоящие Требования к банкам по работе с ценными бумагами (далее потексту  - Требования) разработаны в соответствии с Законами КыргызскойРеспублики </w:t>
      </w:r>
      <w:hyperlink w:history="1" r:id="rIdj92y_mhswxkpnpc9bfdg0">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m-vjbcakfgyj522pfescp">
        <w:r>
          <w:rPr>
            <w:rFonts w:ascii="Arial" w:cs="Arial" w:eastAsia="Arial" w:hAnsi="Arial"/>
            <w:color w:val="1D4ED8"/>
            <w:sz w:val="24"/>
            <w:szCs w:val="24"/>
            <w:u w:val="single"/>
          </w:rPr>
          <w:t xml:space="preserve">"О  банках  и</w:t>
        </w:r>
      </w:hyperlink>
      <w:hyperlink w:history="1" r:id="rIdipqsxbln8nismywm25ryq">
        <w:r>
          <w:rPr>
            <w:rFonts w:ascii="Arial" w:cs="Arial" w:eastAsia="Arial" w:hAnsi="Arial"/>
            <w:color w:val="1D4ED8"/>
            <w:sz w:val="24"/>
            <w:szCs w:val="24"/>
            <w:u w:val="single"/>
          </w:rPr>
          <w:t xml:space="preserve">банковской  деятельности в Кыргызской Республике"</w:t>
        </w:r>
      </w:hyperlink>
      <w:r>
        <w:rPr>
          <w:rFonts w:ascii="Arial" w:cs="Arial" w:eastAsia="Arial" w:hAnsi="Arial"/>
          <w:sz w:val="24"/>
          <w:szCs w:val="24"/>
        </w:rPr>
        <w:t xml:space="preserve"> и  </w:t>
      </w:r>
      <w:hyperlink w:history="1" r:id="rId5tqrniesu_pdusc7dylk1">
        <w:r>
          <w:rPr>
            <w:rFonts w:ascii="Arial" w:cs="Arial" w:eastAsia="Arial" w:hAnsi="Arial"/>
            <w:color w:val="1D4ED8"/>
            <w:sz w:val="24"/>
            <w:szCs w:val="24"/>
            <w:u w:val="single"/>
          </w:rPr>
          <w:t xml:space="preserve">"О  рынке  ценных</w:t>
        </w:r>
      </w:hyperlink>
      <w:hyperlink w:history="1" r:id="rId37b3flphnfn9jmormc_u6">
        <w:r>
          <w:rPr>
            <w:rFonts w:ascii="Arial" w:cs="Arial" w:eastAsia="Arial" w:hAnsi="Arial"/>
            <w:color w:val="1D4ED8"/>
            <w:sz w:val="24"/>
            <w:szCs w:val="24"/>
            <w:u w:val="single"/>
          </w:rPr>
          <w:t xml:space="preserve">бумаг"</w:t>
        </w:r>
      </w:hyperlink>
      <w:r>
        <w:rPr>
          <w:rFonts w:ascii="Arial" w:cs="Arial" w:eastAsia="Arial" w:hAnsi="Arial"/>
          <w:sz w:val="24"/>
          <w:szCs w:val="24"/>
        </w:rPr>
        <w:t xml:space="preserve"> в целях осуществления Национальным Банком Кыргызской Республики(далее  по  тексту  -  НБКР) надзорных функций. Требования  определяютпорядок работы с рыночными ценными бумагами (далее по тексту -  ценныебумаги),   а   также  устанавливают  основные  правила  по  разработкеинвестиционной политики.  Действие настоящих Требований распространяется на коммерческие банкиКыргызской  Республики,  а  также Расчетно-Сберегательную  Компанию  иКыргызскую Сельскохозяйственную Финансовую Корпорацию (далее по тексту- банки).  При   разработке  внутренней  политики  и  процедур   контроля   надпроведением  операций с ценными бумагами банк должен руководствоватьсяположениями настоящих Требований.                            1. Общие положения    1.1.   Настоящие  Требования  определяют  порядок  для   банков   покомплектованию  портфеля  ценных  бумаг  и  управлению  им,  а   такжеминимальные требования к отчетности и системе внутреннего контроля приработе с ценными бумагами.  1.2.  Для осуществления операций с ценными бумагами банку необходимособлюдать следующие условия:  -  иметь  в  наличии  соответствующую  политику  банка,  позволяющуюэффективно управлять рисками, свойственными данному виду деятельности,а также контролировать их;  -  организовать  систему  внутреннего контроля,  согласно  настоящимТребованиям;  -    сотрудники    банка    должны    соответствовать    минимальнымквалификационным требованиям.  1.3.  Банк  может приобретать ценные бумаги только при условии,  чтовладеет  информацией  о финансовом состоянии эмитента,  подтвержденнойфинансовыми  отчетами  с заключением внешнего  аудита  (последние  тригодовых  отчета,  в  случае их отсутствия - последний  годовой  отчет,включающий промежуточные отчеты).  Приобретение ценных бумаг с целью перепродажи в короткий  промежутоквремени может осуществляться после проведения предварительного анализакотировок  на  рынке  ценных  бумаг. При  приобретении  ценных  бумаг,выпущенных   Правительством  Кыргызской  Республики  и   НБКР,   банкиосвобождаются  от  данных  требований.  Данные  требования  также   нераспространяются   на   приобретение  ценных  бумаг   Правительств   иЦентральных  банков других государств при условии,  что  они  обладаютудовлетворительным  рейтингом,  определенным  самим  банком  в   своейинвестиционной политике, и если рынок ценных бумаг этих стран развит итранспарентен  и/или  его  состояние  доступно  для  мониторинга,  чтоопределяется самим банком.  1.4.  При  совмещении банком деятельности брокера и  дилера,  сделкиосуществляемые  по  поручению  клиентов,  во  всех  случаях   подлежатприоритетному  исполнению по сравнению с дилерскими операциями  самогобанка.                     2. Основные понятия, применяемые                        в настоящих Требованиях    2.1.   Брокер  -  профессиональный  участник  рынка  ценных   бумаг,осуществляющий сделки с ценными бумагами, по поручению, за  счет  и  винтересах  клиентов, действующий на основании договора  поручения  иликомиссии.  2.2.  Депозитарий  ценных  бумаг  - специализированная  организация,функции  которой  заключаются  в  хранении  и  учете  ценных  бумаг  итехническом обслуживании сделок с ценными бумагами.  2.3.   Дилер   -  профессиональный  участник  рынка  ценных   бумаг,совершающий сделки с ценными бумагами от своего имени и за свой счет сцелью  получения  прибыли в результате последующей перепродажи  ценныхбумаг или совершения иных сделок с ними.  2.4.  Инвестиции банка в ценные бумаги - вложения банка  в  рыночныеценные бумаги.  2.5.  Инвестиционная политика представляет собой документ, в которомописаны инвестиционная и торговая стратегии банка и их цель.  2.6.  Рыночные ценные бумаги - это ценные бумаги, которые обращаютсяна рынке ценных бумаг.  2.7.  Рынок ценных бумаг - совокупность отношений, складывающихся  впроцессе  выпуска и размещения ценных бумаг, а также  обращения  ранеевыпущенных ценных бумаг между субъектами рынка ценных бумаг.  2.8.  Портфель  ценных бумаг - совокупность различных  видов  ценныхбумаг, находящихся в собственности или управлении банка.                        3. Инвестиционная политика    Инвестиционная   политика   банка,   которая   одобряется    Советомдиректоров, должна содержать, как минимум, следующее:  3.1.  Описание  санкционированных действий (удержание до  погашения,торговля)  и  их  цель  (например, поддержание ликвидности,  получениедохода, соблюдение залоговых требований и т.п.).  3.2.   Порядок  внутреннего  лимитирования  полномочий  по  принятиюинвестиционных и торговых решений. Для этих целей банкам рекомендуетсясоздать  Инвестиционный комитет, который будет  наделен  определеннымиполномочиями   и   степенью  ответственности,  либо   наделить   этимиполномочиями  и  соответствующей степенью ответственности  Комитет  поуправлению активами и пассивами банка.  3.3.  Определение  вида  и качества ценных  бумаг,  которые  следуетдержать   в  портфеле  (например,  в  политике  может  быть  записано:"Допускается вложение средств в правительственные казначейские векселяи в ценные бумаги частных эмитентов, кредитный рейтинг которых не ниже"А").  3.4.  Руководство  по финансовому и качественному анализу  эмитента,включая виды финансовой информации, необходимой для целей анализа.  3.5.   Требования  по  диверсификации  риска  по  видам,   качеству,эмитентам, географическому распределению.  3.6. Четкое распределение степени, полноты и области ответственностисотрудников банка, участвующих в операциях с ценными бумагами.  3.7.    Минимальные   квалификационные   требования   к   персоналу,осуществляющему  работу  с ценными бумагами.  Банку  необходимо  иметьперсонал,   который   способен  провести  анализ   эмитента   и   датьрекомендации по принятию решений. Сотрудники банка, имеющие  отношениек  операциям с ценными бумагами, должны владеть четкой и исчерпывающейинформацией  о  том  виде  ценных бумаг, в  которые  банк  вложил  илипланирует вложить средства.  3.8.  Требования к управленческой информационной системе  по  оценкеэффективности портфеля (виды отчетов и их периодичность).  3.9.   Требования   к  системе  внутреннего  контроля,   позволяющейсвоевременно  выявлять  и  эффективно управлять  риском,  связанным  сразмещением средств в ценные бумаги.  3.10. Основные принципы выбора дилеров по ценным бумагам.                  4. Надзор со стороны Совета директоров                           и Правления банка    Совет  директоров  ответственен  за  обеспечение  хорошего  качествапортфеля  ценных  бумаг.  Правление  банка  несет  ответственность  заустановление и сохранение адекватной и эффективной системы внутреннегоконтроля, а также осуществление соответствующего мониторинга.  Приобретение ценных бумаг, стоимость которых превышает установленныев   инвестиционной  политике  банка  лимиты,  должно  быть  утвержденоПравлением банка с последующим одобрением Совета директоров.  Протоколзаседания   Правления  должен  отражать  соответствующее   обсуждение,включая:  - разъяснение сущности (характеристик) приобретаемых ценных бумаг;  - цель приобретения/продажи;  -  изложение  причин,  по которым приобретение  или  продажа  именноданных ценных бумаг (бумаги) наилучшим образом служит интересам банка.  Всем    рекомендациям   по   приобретению   ценных   бумаг    долженпредшествовать анализ ценной бумаги, ее эмитента и рисков, с  которымисвязано  владение  такой бумагой (Приложение 1). Такой  анализ  долженосновываться  на текущей финансовой информации, отчетах  по  рейтингам(если таковые имеются), и других необходимых источниках.  Если  ценная бумага хранится вне банка, Правление банка должно  бытьубеждено  в  том,  что  депозитарий  имеет  соответствующую  лицензию,хорошую   репутацию  и  является  надежным  в  финансовом   отношении.Депозитарный договор кроме соответствующих прав и обязанностей сторон,может  включать условия хранения и учета, а также требования к реестру(какого  рода  информация должна быть отражена в выписке  из  реестра,периодичность получения, требования в отношении подтверждения).  Если  предполагается приобретение иностранной ценной бумаги,  анализдолжен включать достаточный объем информации о зарубежной стране. Банкдолжен  владеть достаточной для принятия решений общей информацией  обосновных  законах,  а  также  практике  регулирования  соответствующихиностранных  рынков ценных бумаг и деятельности их  депозитариев.  Принеобходимости  банку  рекомендуется  обращаться  за  консультацией   копытному  юристу или специалисту с хорошей репутацией,  работающему  вданной области, и знающему иностранный рынок (рынки).                      5. Система внутреннего контроля    Правление   банка  несет  ответственность  за  организацию   системывнутреннего   контроля,   предусматривающую  разделение   обязанностейсотрудников,   осуществляющих  работу  с  ценными  бумагами,   строгоесоблюдение  ограничений по рискам. Операции с ценными бумагами  должныбыть  функционально разделены между исполнителями заключения сделок  иисполнителями  их  бухгалтерской  обработки.  Каждому  банку   следуетпридерживаться, как минимум, следующих рекомендаций:  5.1.   Четко   определяет  функциональное  разграничение   дилерскойдеятельности (фронт-офис) и бухгалтерской обработки сделок (бэк-офис).На  всех стадиях заключения, контроля и бухгалтерской обработки сделкидолжен  быть использован принцип "четырех глаз", то есть, как минимум,два лица должны осуществлять контроль за исполнением операции.  5.2.  Сотрудник  фронт-офиса, заключающий  сделку,  не  имеет  праваединолично  давать  указания на осуществление бухгалтерской  обработкисделки  без  заверяющей  подписи контролера, работать  с  наличностью,обмениваться  подтверждениями  по  заключенной  сделке  со   встречнойстороной по сделке, осуществлять бухгалтерскую обработку сделки.  5.3. Сотрудник бэк-офиса не имеет право заключать сделку (сделки) напокупку   или   продажу   ценных  бумаг.   Сотрудник,   осуществляющийбухгалтерскую  обработку  сделки, не должен проводить  сверку  условийсделки с подтверждающими документами встречной стороны по сделке.  5.4.   По  всем  операциям  должно  быть  получено  независимое   отисполнителей фронт-офиса подтверждение от встречной стороны по сделке,и проведена его сверка с условиями сделки.  5.5.   Клиринг   и   платежи  должны  регулярно,  с  периодичностью,установленной    внутренними    положениями    (процедурами)    банка,подвергаться сверкам и аудиту, которые осуществляются сотрудниками, неучаствующими в торговых операциях или их учете.  5.6.  Если  банк выступает в роли брокера: банк должен открыть  счетдля  каждого  из клиентов и вести регистрационные записи, включая  всеслучаи  покупки  или  продажи ценных бумаг, виды  ценных  бумаг,  датыпроведения сделки, цену и количество проданных/купленных ценных бумаг.  5.7.  Учет  ценных бумаг, принадлежащих банку должен  осуществлятьсяотдельно от учета ценных бумаг, принадлежащих клиентам банка.  5.8. Работники банка, осуществляющие операции с ценными бумагами, немогут использовать служебное положение для собственной выгоды, вступаяв  личные отношения с лицами, которые участвуют в операциях с  ценнымибумагами, осуществляемых банком.                         6. Регистрационные записи    Все  банки должны соблюдать нормативные правовые акты КР в отношениирегистрационных записей по ценным бумагам. При этом все банки  должны,как минимум, вести следующие записи:  6.1.    Каждому   документу   на   покупку-продажу   ценной   бумагиприсваивается  уникальный код (регистрационный номер), с  параллельнымведением  записи в регистрационном журнале. Документ должен  содержатьследующую информацию:  - куплена ли ценная бумага за счет клиента или банка;  - вид операции (продажа/покупка);  - цена сделки;  - дата получения документа на заключение сделки;  - дата исполнения документа на заключение сделки;  -  описание  ценной  бумаги  (вид  ценной  бумаги,  дата  погашения,процентная ставка, эмитент, номинальная стоимость);  - Ф.И.О. дилера/брокера;  - наименование (Ф.И.О.) клиента;  - инструкции по доставке/оплате;  - специальные условия, предусмотренные банком.  6.2.  В  каждом банке должны вестись журналы регистрации  сделок  поценным бумагам, содержащие следующую информацию:  - Ф.И.О. покупателя/продавца;  -   наименование   стороны,  которой  ценная  бумага   должна   бытьдоставлена, или от которой она должна быть получена;  - описание ценной бумаги;  - официальный номер ценной бумаги;  - номер операции или подтверждения;  - дата покупки-продажи;  - общая номинальная стоимость;  - общая стоимость покупки-продажи;  - номинальная цена за единицу, дисконт, доходность.  6.3.  Управленческая информационная система должна  быть  достаточнодетализированной,  чтобы обеспечивать ответственных  лиц  информацией,необходимой для осуществления должного учета, мониторинга  и  контроляпортфеля  ценных бумаг. Помимо вышеприведенной информации, сведения  опортфеле должны, как минимум, включать разбивку ценных бумаг  по  виду(облигации  или  акции),  рейтингу  (если  присвоен),  номинальной   ирыночной   стоимости,  датам  сделки,  процентной  ставке,   дисконту,доходности.  Такие  сведения необходимо готовить  отдельно  по  ценнымбумагам,  удерживаемым до погашения, по торговым ценным бумагам  и  поценным  бумагам  для  продажи. В инвестиционной политике  должна  бытьуказана   периодичность  оценки  (соответствие  классификации   должнооцениваться не реже одного раза в месяц, для целей отчетности).                   7. Квалификация банковского персонала    Руководство банка ответственно за то, чтобы все сотрудники занятые вдилерских  и брокерских операциях, обладали необходимой квалификацией.При  определении  минимальных  квалификационных  требований  банка   ксотрудникам,   осуществляющим  работу   в   качестве   брокера/дилера,рекомендуется    учитывать   наличие   соответствующих    сертификатов(свидетельств),  необходимых для проведения операций на  рынке  ценныхбумаг,  опыт работы в банковской системе. Для соответствия сотрудниковданным  требованиям банкам рекомендуется проводить кадровую  политику,направленную на повышение квалификации сотрудников через  обучение  насоответствующих  курсах,  семинарах,  а  также  использовать  практикунаставничества.                          8. Внешний брокер/дилер    При  недостатке  собственного опыта или при  выходе  на  иностранныерынки,  банк  может воспользоваться услугами внешнего  брокера/дилера.Если   даже   оперативное  управление  поручено   компетентным   лицам(сотрудникам  банка,  внешним  лицам), Правление  банка  несет  полнуюответственность  за  контроль  и управление  портфелем  ценных  бумаг.Поэтому, необходимо уделить этому вопросу особое внимание.  При выборе брокера/дилера по ценным бумагам банкам рекомендуется:  8.1. Изучить репутацию брокера/дилера в части того, что касается егочестности,    добросовестности    и   профессиональной    квалификациипосредством   общения   с   его  коллегами   и   клиентами   и   сборасоответствующей  информации  из  государственных  и  негосударственныхисточников.  8.2.  Установить  контакты  с Центральными банками,  уполномоченнымигосударственными  органами по рынку ценных  бумаг  и  соответствующимидолжностными лицами в зарубежных странах, чтобы убедиться в том, что уброкера/дилера  имеется  соответствующая лицензия,  а  также  с  цельюполучения иной информации, которая может оказаться полезной в процессевыбора брокера/дилера.  8.3.    Получить   информацию   и   оценить   финансовое   состояниеброкера/дилера,  чтобы убедиться, что финансовое состояние  последнегодостаточно  устойчиво,  чтобы  выполнять  любые  обязательства   передбанком.                9. Классификация ценных бумаг по назначению                      и предоставление отчетности    При  приобретении  ценных  бумаг их необходимо  классифицировать  поназначению  (в  зависимости от целей приобретения)  в  соответствии  сМеждународными стандартами финансовой отчетности, отнеся  к  одной  изтрех категорий:  Ценные  бумаги,  удерживаемые до погашения - банк должен  определитьсвое  намерение и способность держать эти ценные бумаги до наступлениясрока погашения.  Торговые  ценные  бумаги  - к этой категории  относятся:  а)  ценныебумаги,  приобретенные с целью получения прибыли за счет краткосрочныхизменений  цены; или б) ценные бумаги, сохраняемые с целью перепродажив ближайшем будущем.  Ценные  бумаги  годные для продажи - все прочие  ценные  бумаги,  невошедшие в вышеперечисленные категории.  Соответствие  классификации должно контролироваться не  реже  одногораза в месяц, для целей отчетности.  Все  банки  должны  также  ежемесячно отражать  в  своей  финансовойотчетности  любое  известное ухудшение стоимости  всех  ценных  бумаг.Кроме  того, банк обязан проводить оценочную классификацию всех ценныхбумаг   на   предмет  ухудшения  согласно  требованиям,  установленнымзаконодательством КР.  Правильность оценки ценных бумаг должна проверятся каждый раз, когдабанк  готовит регулятивный отчет или публикует свои финансовые отчеты.НБКР  на  регулярной основе, в порядке установленном законодательствомКыргызской  Республики будет проверять деятельность банка  на  предметсогласованности с настоящими Требованиями.  Определяя,  насколько правильно банк классифицировал  свой  портфельценных  бумаг  по  категориям, НБКР в целях регулирования  и  надзора,будет учитывать следующие факторы:  -  уровень  покупок  и  продаж  в инвестиционном  портфеле.  Высокийуровень  может указывать на намерение банка получить прибыль  за  счеткраткосрочных изменений цен;  - срок владения относительно даты приобретения;  -  отношение  доходных  операций  к убыточным  операциям  с  ценнымибумагами;  - объем нереализованных убытков в инвестиционном портфеле.  Банк  должен осуществить перевод ценной бумаги (бумаг) из  категории"ценных  бумаг, удерживаемых до погашения" в категорию "ценных  бумаг,предназначенных  для торговли", если Национальным  банком  установленыследующие факты:  - практика торговли ценными бумагами, находящимися в портфеле;  -   ценные  бумаги  не  классифицированы  должным  образом  при   ихприобретении;  -  ценные  бумаги  вообще  не были классифицированы  так,  как  тоготребует настоящий документ.  Перевод  ценных бумаг из одной категории в другую означает, что  всянереализованная  прибыль  (убыток)  должна  быть  немедленно  признанатекущим доходом/расходом.  В  практике банка перевод ценных бумаг из одной категории  в  другуюдопускается  осуществлять  только  в исключительных  случаях,  которыедолжны  быть  описаны в инвестиционной политике банка. При  этом  банкдолжен  осуществить перевод всей группу/группы ценных бумаг  в  целом,исключаетозможность перевода только одной или нескольких ценных  бумагиз  данной  группы. Повторный перевод этой же группы  ценных  бумаг  влюбую другую категорию не допускается. Группировка ценных бумаг внутриодной   категории  производится  по  эмиссии  и  финансовым   условиям(например,  Государственные  казначейские  векселя  (ГКВ)  со   срокомпогашения  6 месяцев и доходностью 7% - одна группа ценных бумаг;  ГКВсо  сроком погашения 3 месяца и доходностью 5% - другая группа  ценныхбумаг; и т.д.).  Несоответствующее  настоящим Требованиям  применение  правил  учета,предназначенных  для  трех  категорий  ценных  бумаг,   особенно   длякатегории   ценных  бумаг,  удерживаемых  до  погашения,  приводит   кнеправильному  отражению  финансового  состояния  банка   в   отчетах,представляемых  в  НБКР, что может рассматриваться как  предоставлениенедостоверной информации.                                 Приложение 1            Виды рисков, присущих операциям с ценными бумагами    Кредитный риск - риск, которому подвергаются доходы банка и  капиталв  тех  случаях,  когда встречная сторона в сделке или  заемщик  не  всостоянии  погасить долг или выполнить обязательства  по  контракту  сбанком.  Кредитный риск присущ всем видам долговых обязательств.  Рискранжируется от минимального (обязательства Правительства КР или  НБКР)до  очень  высокого (частные дебиторы). Кредитный риск  бывает  прямым(ценные  бумаги,  представляющие  собой  долговые  обязательства)  иликосвенным (гарантии, обязательства).  Риск процентных ставок - риск, которому подвергаются доходы банка  икапитал в связи с изменением процентных ставок. В простейшем виде рискпроцентных  ставок можно выразить как несоответствие между  стоимостьюактивов  и  обязательств. Например, когда банк финансирует  6-месячныйказначейский  вексель  за  счет 3-месячного  депозита.  Если  к  концутрехмесячного срока процентная ставка по депозиту увеличивается, банкуможет  потребоваться либо увеличить процентную ставку, чтобы  удержатьклиента,  либо привлечь новые депозиты по более высокой ставке,  в  товремя   как   процентный  доход,  полученный  от  капиталовложений   вказначейский  вексель, останется неизменным в течение  следующих  трехмесяцев. Разумеется, что это уменьшит чистый процентный доход.  Риск  ликвидности  -  риск,  которому подвергаются  доходы  банка  икапитал,  в  случае  неспособности банка выполнить свои  обязательства(отток  депозитов,  обязательства по кредитам  и  т.п.),  либо  в  техслучаях,   когда   банк,   пытаясь   выполнить   свои   обязательства,подвергается  недопустимому риску (например, мобилизует дополнительныесредства  по высокой стоимости). Так, например, банк может располагатьценными  бумагами,  которые  он  не в состоянии  продать,  либо  можетпродать лишь со значительным убытком из-за изменения общих условий  нарынке,  изменения  спроса на данный вид ценных бумаг ("вялый  рынок"),либо ухудшения качества ценных бумаг.  Рыночный риск или Ценовой риск - риск, которому подвергаются  доходыбанка  и  капитал  в  результате изменения рыночной  стоимости  ценныхбумаг,   находящихся  в  портфеле  банка.  Например,  по  мере   ростапроцентных  ставок,  цена на долговые ценные бумаги  падает.  Цены  наакции  на  КФБ могут значительно меняться в зависимости от  восприятиярынком   состояния  и  перспектив  компании,  в  которую  банк  вложилсредства,  а  также промышленности или экономики в целом.  Все  банки,работающие  с  казначейскими  ценными бумагами,  как  участники  рынкаценных  бумаг, должны помнить, что цены на ценные бумаги в их портфелемогут меняться по мере изменения экономических условий.  Валютный риск - риск, которому подвергаются доходы и капитал в связис  изменением  обменного  курса. Этому риску подвергаются  все  банки,которые  инвестируют  средства  в  ценные  бумаги,  номинированные   винвалюте.  Как  правило,  влияние валютного риска  проявляется  в  техслучаях,  когда активы и обязательства, стоимость которых  выражена  виностранной валюте, конвертируются в национальную валюту (сомы).  Риск  операций  или Операционный риск - риск, которому  подвергаютсядоходы   и   капитал  в  результате  проблем,  связанных  с  системамивнутреннего  контроля,  неполадками в системах  обмена  информацией  иоперационными процессами. Риск расчетов, который возникает  в  случае,когда  платежеспособная встречная сторона не может произвести  расчетыпо сделке в условленную дату в силу обстоятельств, не зависящих от нее(встречной стороны), например, несостоятельности платежной системы илинарушения  контракта  третьей стороной, является частью  операционногориска.  Страновой риск - риск, которому подвергаются доходы и капитал в  техслучаях,  когда банк вкладывает средства в иностранные  ценные  бумагиили  другие  активы. Иностранные рынки подвержены влиянию целого  рядафакторов,  -  как  экономических, так и неэкономических:  политическаястабильность, ограничения на перемещение капитала, процентные  ставки,инфляция  и средства контроля над валютными операциями. Это  означает,что  банк,  вкладывающий средства в иностранные ценные бумаги,  долженследить  за  экономическими и политическими событиями  соответствующейстраны,  чтобы  иметь  возможность предпринять  необходимые  меры  дляминимизации  отрицательных  последствий  неблагоприятных  событий  длясвоего портфеля ценных 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pavt5z6lqv-x1g3p_5l-">
      <w:r>
        <w:rPr>
          <w:rFonts w:ascii="Arial" w:cs="Arial" w:eastAsia="Arial" w:hAnsi="Arial"/>
          <w:color w:val="132D3F"/>
          <w:sz w:val="16"/>
          <w:szCs w:val="16"/>
          <w:u w:val="single"/>
        </w:rPr>
        <w:t xml:space="preserve">dalil.kg/document/30890</w:t>
      </w:r>
    </w:hyperlink>
  </w:p>
  <w:p>
    <w:pPr>
      <w:spacing w:after="0" w:before="40"/>
      <w:jc w:val="center"/>
    </w:pPr>
    <w:hyperlink w:history="1" r:id="rIdh9w5abwfsvx_cizjei3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q_j0on-iobej2bv-jgy" Type="http://schemas.openxmlformats.org/officeDocument/2006/relationships/hyperlink" Target="https://dalil.kg/document/30890#1" TargetMode="External"/><Relationship Id="rIdl-zx6s10wdcpdbpglsj-a" Type="http://schemas.openxmlformats.org/officeDocument/2006/relationships/hyperlink" Target="https://dalil.kg/document/30890" TargetMode="External"/><Relationship Id="rIdj92y_mhswxkpnpc9bfdg0" Type="http://schemas.openxmlformats.org/officeDocument/2006/relationships/hyperlink" Target="https://dalil.kg/document/559" TargetMode="External"/><Relationship Id="rIdm-vjbcakfgyj522pfescp" Type="http://schemas.openxmlformats.org/officeDocument/2006/relationships/hyperlink" Target="https://dalil.kg/document/560" TargetMode="External"/><Relationship Id="rIdipqsxbln8nismywm25ryq" Type="http://schemas.openxmlformats.org/officeDocument/2006/relationships/hyperlink" Target="https://dalil.kg/document/560" TargetMode="External"/><Relationship Id="rId5tqrniesu_pdusc7dylk1" Type="http://schemas.openxmlformats.org/officeDocument/2006/relationships/hyperlink" Target="https://dalil.kg/document/104" TargetMode="External"/><Relationship Id="rId37b3flphnfn9jmormc_u6"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pavt5z6lqv-x1g3p_5l-" Type="http://schemas.openxmlformats.org/officeDocument/2006/relationships/hyperlink" Target="https://dalil.kg/document/30890" TargetMode="External"/><Relationship Id="rIdh9w5abwfsvx_cizjei3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2026-09-25T04:30:41.693Z</dcterms:created>
  <dcterms:modified xsi:type="dcterms:W3CDTF">2026-09-25T04:30:41.693Z</dcterms:modified>
</cp:coreProperties>
</file>

<file path=docProps/custom.xml><?xml version="1.0" encoding="utf-8"?>
<Properties xmlns="http://schemas.openxmlformats.org/officeDocument/2006/custom-properties" xmlns:vt="http://schemas.openxmlformats.org/officeDocument/2006/docPropsVTypes"/>
</file>