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5 января 2004 года. Регистрационный номер 2-04</w:t>
      </w:r>
    </w:p>
    <w:p>
      <w:pPr>
        <w:spacing w:after="120"/>
        <w:jc w:val="lef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требованиях к операциям банков с инсайдерами и аффилированными лицами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7wacv9tio84sdgk3yudqj">
        <w:r>
          <w:rPr>
            <w:rFonts w:ascii="Arial" w:cs="Arial" w:eastAsia="Arial" w:hAnsi="Arial"/>
            <w:color w:val="1D4ED8"/>
            <w:sz w:val="24"/>
            <w:szCs w:val="24"/>
            <w:u w:val="single"/>
          </w:rPr>
          <w:t xml:space="preserve">15 сентября 2004 года № 24/4</w:t>
        </w:r>
      </w:hyperlink>
      <w:r>
        <w:rPr>
          <w:rFonts w:ascii="Arial" w:cs="Arial" w:eastAsia="Arial" w:hAnsi="Arial"/>
          <w:sz w:val="24"/>
          <w:szCs w:val="24"/>
        </w:rPr>
        <w:t xml:space="preserve">, </w:t>
      </w:r>
      <w:hyperlink w:history="1" r:id="rIdhxjmcbbjuzpj0ivzu5imj">
        <w:r>
          <w:rPr>
            <w:rFonts w:ascii="Arial" w:cs="Arial" w:eastAsia="Arial" w:hAnsi="Arial"/>
            <w:color w:val="1D4ED8"/>
            <w:sz w:val="24"/>
            <w:szCs w:val="24"/>
            <w:u w:val="single"/>
          </w:rPr>
          <w:t xml:space="preserve">23 октября 2004 года № 26/3</w:t>
        </w:r>
      </w:hyperlink>
      <w:r>
        <w:rPr>
          <w:rFonts w:ascii="Arial" w:cs="Arial" w:eastAsia="Arial" w:hAnsi="Arial"/>
          <w:sz w:val="24"/>
          <w:szCs w:val="24"/>
        </w:rPr>
        <w:t xml:space="preserve">, </w:t>
      </w:r>
      <w:hyperlink w:history="1" r:id="rIdemzzkidkl_9lwuxm_5qkx">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 </w:t>
      </w:r>
      <w:hyperlink w:history="1" r:id="rIddc_wocexxvoztlotyszgn">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 </w:t>
      </w:r>
      <w:hyperlink w:history="1" r:id="rIdjuugi-pbujgrlthjrv91j">
        <w:r>
          <w:rPr>
            <w:rFonts w:ascii="Arial" w:cs="Arial" w:eastAsia="Arial" w:hAnsi="Arial"/>
            <w:color w:val="1D4ED8"/>
            <w:sz w:val="24"/>
            <w:szCs w:val="24"/>
            <w:u w:val="single"/>
          </w:rPr>
          <w:t xml:space="preserve">10 июня 2009 года № 26/2</w:t>
        </w:r>
      </w:hyperlink>
      <w:r>
        <w:rPr>
          <w:rFonts w:ascii="Arial" w:cs="Arial" w:eastAsia="Arial" w:hAnsi="Arial"/>
          <w:sz w:val="24"/>
          <w:szCs w:val="24"/>
        </w:rPr>
        <w:t xml:space="preserve">, </w:t>
      </w:r>
      <w:hyperlink w:history="1" r:id="rIdez_xckf70yw-fnnsf4sef">
        <w:r>
          <w:rPr>
            <w:rFonts w:ascii="Arial" w:cs="Arial" w:eastAsia="Arial" w:hAnsi="Arial"/>
            <w:color w:val="1D4ED8"/>
            <w:sz w:val="24"/>
            <w:szCs w:val="24"/>
            <w:u w:val="single"/>
          </w:rPr>
          <w:t xml:space="preserve">25 ноября 2009 года № 47/4</w:t>
        </w:r>
      </w:hyperlink>
      <w:r>
        <w:rPr>
          <w:rFonts w:ascii="Arial" w:cs="Arial" w:eastAsia="Arial" w:hAnsi="Arial"/>
          <w:sz w:val="24"/>
          <w:szCs w:val="24"/>
        </w:rPr>
        <w:t xml:space="preserve">,  </w:t>
      </w:r>
      <w:hyperlink w:history="1" r:id="rIdkvudreyp5vsq36rz_4a59">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2. Общие правила</w:t>
      </w:r>
    </w:p>
    <w:p>
      <w:pPr>
        <w:spacing w:after="120"/>
        <w:jc w:val="both"/>
      </w:pPr>
      <w:r>
        <w:rPr>
          <w:rFonts w:ascii="Arial" w:cs="Arial" w:eastAsia="Arial" w:hAnsi="Arial"/>
          <w:sz w:val="24"/>
          <w:szCs w:val="24"/>
        </w:rPr>
        <w:t xml:space="preserve">3. Протоколы и отчеты</w:t>
      </w:r>
    </w:p>
    <w:p>
      <w:pPr>
        <w:spacing w:after="120"/>
        <w:jc w:val="both"/>
      </w:pPr>
      <w:r>
        <w:rPr>
          <w:rFonts w:ascii="Arial" w:cs="Arial" w:eastAsia="Arial" w:hAnsi="Arial"/>
          <w:sz w:val="24"/>
          <w:szCs w:val="24"/>
        </w:rPr>
        <w:t xml:space="preserve">4. Заключительные положения</w:t>
      </w:r>
    </w:p>
    <w:p>
      <w:pPr>
        <w:spacing w:after="120"/>
        <w:jc w:val="both"/>
      </w:pPr>
      <w:r>
        <w:rPr>
          <w:rFonts w:ascii="Arial" w:cs="Arial" w:eastAsia="Arial" w:hAnsi="Arial"/>
          <w:sz w:val="24"/>
          <w:szCs w:val="24"/>
        </w:rPr>
        <w:t xml:space="preserve">Настоящая Инструкция разработана в соответствии с Законами Кыргызской Республики "</w:t>
      </w:r>
      <w:hyperlink w:history="1" r:id="rIdyczgelp4zxq2hc68nu18p">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ymfrzodlaakrtys0ajcqm">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в целях установления требований к деятельности банков, в том числе осуществляющих деятельность в соответствии с исламскими принципами банковского дела и финансирования, банках, имеющих исламское окно, специализированного финансово-кредитного учреждения ОАО "Финансовая компания кредитных союзов", лицензируемых Национальным банком Кыргызской Республики (далее НБКР), и Государственного банка развития Кыргызской Республики (далее банки), при осуществлении ими операций с инсайдерами и аффилированными лицами.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gc85tzky6biwinki7b4_">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Для целей настоящей Инструкции используются следующие определения:</w:t>
      </w:r>
    </w:p>
    <w:p>
      <w:pPr>
        <w:spacing w:after="120"/>
        <w:jc w:val="both"/>
      </w:pPr>
      <w:r>
        <w:rPr>
          <w:rFonts w:ascii="Arial" w:cs="Arial" w:eastAsia="Arial" w:hAnsi="Arial"/>
          <w:sz w:val="24"/>
          <w:szCs w:val="24"/>
        </w:rPr>
        <w:t xml:space="preserve">Инсайдеры (внутренние лица) банка - члены Правления, члены Совета директоров, члены Шариатского совета, другие должностные лица,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В случаях, когда внутренний аудитор, риск-менеджер и лицо, назначаемое в целях организации внутреннего контроля по противодействию финансированию терроризма и легализации (отмыванию) доходов, полученных преступным путем, не подпадают под определение "должностных лиц банка" в соответствии с настоящей Инструкцией, на них не распространяются требования данной Инструкции.</w:t>
      </w:r>
    </w:p>
    <w:p>
      <w:pPr>
        <w:spacing w:after="120"/>
        <w:jc w:val="both"/>
      </w:pPr>
      <w:r>
        <w:rPr>
          <w:rFonts w:ascii="Arial" w:cs="Arial" w:eastAsia="Arial" w:hAnsi="Arial"/>
          <w:sz w:val="24"/>
          <w:szCs w:val="24"/>
        </w:rPr>
        <w:t xml:space="preserve">Должностные лица банка - председатель и иные члены Совета директоров банка, председатель Правления, члены Правления банка, главные сотрудники банка по финансам, по кредитам.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Член Совета директоров (или член подобного органа) - лицо, которое входит в Совет директоров банка и/или компании, контролирующей банк, лицо, входящее в Совет директоров любой компании, контролируемой банком, а также члены Совета директоров компаний, которые контролируются одним и тем же физическим или юридическим лицом.</w:t>
      </w:r>
    </w:p>
    <w:p>
      <w:pPr>
        <w:spacing w:after="120"/>
        <w:jc w:val="both"/>
      </w:pPr>
      <w:r>
        <w:rPr>
          <w:rFonts w:ascii="Arial" w:cs="Arial" w:eastAsia="Arial" w:hAnsi="Arial"/>
          <w:sz w:val="24"/>
          <w:szCs w:val="24"/>
        </w:rPr>
        <w:t xml:space="preserve">Владельцы крупных пакетов акций - лица, которые прямо или косвенно контролируют (являются подлинными владельцами) более, чем 5 процентов акций с правом голоса.</w:t>
      </w:r>
    </w:p>
    <w:p>
      <w:pPr>
        <w:spacing w:after="120"/>
        <w:jc w:val="both"/>
      </w:pPr>
      <w:r>
        <w:rPr>
          <w:rFonts w:ascii="Arial" w:cs="Arial" w:eastAsia="Arial" w:hAnsi="Arial"/>
          <w:sz w:val="24"/>
          <w:szCs w:val="24"/>
        </w:rPr>
        <w:t xml:space="preserve">Подлинный владелец акций - лицо, которое владеет акциями компании от своего собственного имени, а также лицо, которое в состоянии получать выгоды от владения акциями компании, посредством любого контракта, соглашения, договора или договоренности с другим лицом, в любой письменной или устной форме, даже, если юридическое владение такими акциями принадлежит другому лицу.</w:t>
      </w:r>
    </w:p>
    <w:p>
      <w:pPr>
        <w:spacing w:after="120"/>
        <w:jc w:val="both"/>
      </w:pPr>
      <w:r>
        <w:rPr>
          <w:rFonts w:ascii="Arial" w:cs="Arial" w:eastAsia="Arial" w:hAnsi="Arial"/>
          <w:sz w:val="24"/>
          <w:szCs w:val="24"/>
        </w:rPr>
        <w:t xml:space="preserve">Контроль - единолично,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 возможность выбирать, как минимум, половину членов Совета директоров (наблюдательного органа) юридического лица, или;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sz w:val="24"/>
          <w:szCs w:val="24"/>
        </w:rPr>
        <w:t xml:space="preserve">В целях определения Контроля, Владельцев крупных пакетов акций и Подлинного владельца акций:</w:t>
      </w:r>
    </w:p>
    <w:p>
      <w:pPr>
        <w:spacing w:after="120"/>
        <w:jc w:val="both"/>
      </w:pPr>
      <w:r>
        <w:rPr>
          <w:rFonts w:ascii="Arial" w:cs="Arial" w:eastAsia="Arial" w:hAnsi="Arial"/>
          <w:sz w:val="24"/>
          <w:szCs w:val="24"/>
        </w:rPr>
        <w:t xml:space="preserve">1.1. Любые акции, находящиеся в подлинном владении или под контролем родственника из числа круга родственников, определяемых настоящей Инструкцией, рассматриваются как находящиеся в подлинном владении этого физического лица.</w:t>
      </w:r>
    </w:p>
    <w:p>
      <w:pPr>
        <w:spacing w:after="120"/>
        <w:jc w:val="both"/>
      </w:pPr>
      <w:r>
        <w:rPr>
          <w:rFonts w:ascii="Arial" w:cs="Arial" w:eastAsia="Arial" w:hAnsi="Arial"/>
          <w:sz w:val="24"/>
          <w:szCs w:val="24"/>
        </w:rPr>
        <w:t xml:space="preserve">1.2. Лицо (физическое или юридическое), которое полностью контролирует компанию, считается осуществляющим контроль всех компаний, которые полностью контролируются этой компанией.</w:t>
      </w:r>
    </w:p>
    <w:p>
      <w:pPr>
        <w:spacing w:after="120"/>
        <w:jc w:val="both"/>
      </w:pPr>
      <w:r>
        <w:rPr>
          <w:rFonts w:ascii="Arial" w:cs="Arial" w:eastAsia="Arial" w:hAnsi="Arial"/>
          <w:sz w:val="24"/>
          <w:szCs w:val="24"/>
        </w:rPr>
        <w:t xml:space="preserve">1.3. Акции, находящиеся в подлинном владении или под контролем компаний, которые полностью контролируются определенным лицом, считаются находящимися в подлинном владении этого лица и суммируются с акциями, находящимися в прямом владении этого лица, при определении акций, находящихся в подлинном владении этого лица.</w:t>
      </w:r>
    </w:p>
    <w:p>
      <w:pPr>
        <w:spacing w:after="120"/>
        <w:jc w:val="both"/>
      </w:pPr>
      <w:r>
        <w:rPr>
          <w:rFonts w:ascii="Arial" w:cs="Arial" w:eastAsia="Arial" w:hAnsi="Arial"/>
          <w:sz w:val="24"/>
          <w:szCs w:val="24"/>
        </w:rPr>
        <w:t xml:space="preserve">1.4. Акции, находящиеся в подлинном владении или полностью контролируемые компаниями, которые контролируются одним и тем же физическим или юридическим лицом, суммируются.</w:t>
      </w:r>
    </w:p>
    <w:p>
      <w:pPr>
        <w:spacing w:after="120"/>
        <w:jc w:val="both"/>
      </w:pPr>
      <w:r>
        <w:rPr>
          <w:rFonts w:ascii="Arial" w:cs="Arial" w:eastAsia="Arial" w:hAnsi="Arial"/>
          <w:sz w:val="24"/>
          <w:szCs w:val="24"/>
        </w:rPr>
        <w:t xml:space="preserve">Лица, связанные общими интересами с инсайдерами - это круг родственников инсайдеров, другие физические лица, которые могут реально повлиять на принятие решений инсайдерами банка, а также юридические лица, контролируемые инсайдерами банка.</w:t>
      </w:r>
    </w:p>
    <w:p>
      <w:pPr>
        <w:spacing w:after="120"/>
        <w:jc w:val="both"/>
      </w:pPr>
      <w:r>
        <w:rPr>
          <w:rFonts w:ascii="Arial" w:cs="Arial" w:eastAsia="Arial" w:hAnsi="Arial"/>
          <w:sz w:val="24"/>
          <w:szCs w:val="24"/>
        </w:rPr>
        <w:t xml:space="preserve">Круг родственников - это лица, состоящие в отношении родства и свойства, и включает: родители, супруг(а), родители супруга/супруги, дети (включая усыновленных/удочеренных), сестры и братья, дедушка и бабушка, внуки, братья/сестры родителей, дети братьев/сестер родителей.</w:t>
      </w:r>
    </w:p>
    <w:p>
      <w:pPr>
        <w:spacing w:after="120"/>
        <w:jc w:val="both"/>
      </w:pPr>
      <w:r>
        <w:rPr>
          <w:rFonts w:ascii="Arial" w:cs="Arial" w:eastAsia="Arial" w:hAnsi="Arial"/>
          <w:sz w:val="24"/>
          <w:szCs w:val="24"/>
        </w:rPr>
        <w:t xml:space="preserve">Кредит имеет то же определение, что "Совокупная задолженность, или требование", которое содержится в Инструкции "Об ограничениях кредитования", утвержденной </w:t>
      </w:r>
      <w:hyperlink w:history="1" r:id="rIdgf_rn_kj5euzgaaumqo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15 сентября 2004 года № 24/4 (рег. номер МЮ КР № 109-04 от 7 октября 2004 года).</w:t>
      </w:r>
    </w:p>
    <w:p>
      <w:pPr>
        <w:spacing w:after="120"/>
        <w:jc w:val="both"/>
      </w:pPr>
      <w:r>
        <w:rPr>
          <w:rFonts w:ascii="Arial" w:cs="Arial" w:eastAsia="Arial" w:hAnsi="Arial"/>
          <w:sz w:val="24"/>
          <w:szCs w:val="24"/>
        </w:rPr>
        <w:t xml:space="preserve">Компания означает любую форму предпринимательской структуры, организованную в соответствии с законами Кыргызской Республики или иностранного государства.</w:t>
      </w:r>
    </w:p>
    <w:p>
      <w:pPr>
        <w:spacing w:after="120"/>
        <w:jc w:val="both"/>
      </w:pPr>
      <w:r>
        <w:rPr>
          <w:rFonts w:ascii="Arial" w:cs="Arial" w:eastAsia="Arial" w:hAnsi="Arial"/>
          <w:sz w:val="24"/>
          <w:szCs w:val="24"/>
        </w:rPr>
        <w:t xml:space="preserve">Аффилированными лицами являются:</w:t>
      </w:r>
    </w:p>
    <w:p>
      <w:pPr>
        <w:spacing w:after="120"/>
        <w:jc w:val="both"/>
      </w:pPr>
      <w:r>
        <w:rPr>
          <w:rFonts w:ascii="Arial" w:cs="Arial" w:eastAsia="Arial" w:hAnsi="Arial"/>
          <w:sz w:val="24"/>
          <w:szCs w:val="24"/>
        </w:rPr>
        <w:t xml:space="preserve">- значительные участники юридического лица, включая банки;</w:t>
      </w:r>
    </w:p>
    <w:p>
      <w:pPr>
        <w:spacing w:after="120"/>
        <w:jc w:val="both"/>
      </w:pPr>
      <w:r>
        <w:rPr>
          <w:rFonts w:ascii="Arial" w:cs="Arial" w:eastAsia="Arial" w:hAnsi="Arial"/>
          <w:sz w:val="24"/>
          <w:szCs w:val="24"/>
        </w:rPr>
        <w:t xml:space="preserve">-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Отношения аффилированного лица с банком могут быть отслежены по связям ("цепочке") компаний и лиц, отношения между которыми основываются на полном контроле, вне зависимости от количества звеньев "цепочки".</w:t>
      </w:r>
    </w:p>
    <w:p>
      <w:pPr>
        <w:spacing w:after="120"/>
        <w:jc w:val="both"/>
      </w:pPr>
      <w:r>
        <w:rPr>
          <w:rFonts w:ascii="Arial" w:cs="Arial" w:eastAsia="Arial" w:hAnsi="Arial"/>
          <w:sz w:val="24"/>
          <w:szCs w:val="24"/>
        </w:rPr>
        <w:t xml:space="preserve">Компания не считается аффилированным лицом, если контроль над ней возник в результате осуществления прав по предотвращению убытков банка от долгов, которые возникли ранее, но при условии, что банк должен продать свое владение такой компанией в течение двух лет, начиная с момента приобретения банком права юридического владения ей.</w:t>
      </w:r>
    </w:p>
    <w:p>
      <w:pPr>
        <w:spacing w:after="120"/>
        <w:jc w:val="both"/>
      </w:pPr>
      <w:r>
        <w:rPr>
          <w:rFonts w:ascii="Arial" w:cs="Arial" w:eastAsia="Arial" w:hAnsi="Arial"/>
          <w:sz w:val="24"/>
          <w:szCs w:val="24"/>
        </w:rPr>
        <w:t xml:space="preserve">Сделки (операции) с аффилированными лицами включают:</w:t>
      </w:r>
    </w:p>
    <w:p>
      <w:pPr>
        <w:spacing w:after="120"/>
        <w:jc w:val="both"/>
      </w:pPr>
      <w:r>
        <w:rPr>
          <w:rFonts w:ascii="Arial" w:cs="Arial" w:eastAsia="Arial" w:hAnsi="Arial"/>
          <w:sz w:val="24"/>
          <w:szCs w:val="24"/>
        </w:rPr>
        <w:t xml:space="preserve">- выдачу кредита (кредитного заменителя)(1) аффилированному лицу;</w:t>
      </w:r>
    </w:p>
    <w:p>
      <w:pPr>
        <w:spacing w:after="120"/>
        <w:jc w:val="both"/>
      </w:pPr>
      <w:r>
        <w:rPr>
          <w:rFonts w:ascii="Arial" w:cs="Arial" w:eastAsia="Arial" w:hAnsi="Arial"/>
          <w:sz w:val="24"/>
          <w:szCs w:val="24"/>
        </w:rPr>
        <w:t xml:space="preserve">- покупку ценных бумаг, выпущенные аффилированным лицом;</w:t>
      </w:r>
    </w:p>
    <w:p>
      <w:pPr>
        <w:spacing w:after="120"/>
        <w:jc w:val="both"/>
      </w:pPr>
      <w:r>
        <w:rPr>
          <w:rFonts w:ascii="Arial" w:cs="Arial" w:eastAsia="Arial" w:hAnsi="Arial"/>
          <w:sz w:val="24"/>
          <w:szCs w:val="24"/>
        </w:rPr>
        <w:t xml:space="preserve">- покупку активов;</w:t>
      </w:r>
    </w:p>
    <w:p>
      <w:pPr>
        <w:spacing w:after="120"/>
        <w:jc w:val="both"/>
      </w:pPr>
      <w:r>
        <w:rPr>
          <w:rFonts w:ascii="Arial" w:cs="Arial" w:eastAsia="Arial" w:hAnsi="Arial"/>
          <w:sz w:val="24"/>
          <w:szCs w:val="24"/>
        </w:rPr>
        <w:t xml:space="preserve">- акцептование ценных бумаг, выпущенных аффилированным лицом в обеспечение займа или кредита любому лицу или компании;</w:t>
      </w:r>
    </w:p>
    <w:p>
      <w:pPr>
        <w:spacing w:after="120"/>
        <w:jc w:val="both"/>
      </w:pPr>
      <w:r>
        <w:rPr>
          <w:rFonts w:ascii="Arial" w:cs="Arial" w:eastAsia="Arial" w:hAnsi="Arial"/>
          <w:sz w:val="24"/>
          <w:szCs w:val="24"/>
        </w:rPr>
        <w:t xml:space="preserve">- выдача гарантий, акцептование переводных векселей, выставление аккредитива в пользу аффилированного лица;</w:t>
      </w:r>
    </w:p>
    <w:p>
      <w:pPr>
        <w:spacing w:after="120"/>
        <w:jc w:val="both"/>
      </w:pPr>
      <w:r>
        <w:rPr>
          <w:rFonts w:ascii="Arial" w:cs="Arial" w:eastAsia="Arial" w:hAnsi="Arial"/>
          <w:sz w:val="24"/>
          <w:szCs w:val="24"/>
        </w:rPr>
        <w:t xml:space="preserve">- иные операции, подпадающие под понятие сделок в соответствии с законодательством.</w:t>
      </w:r>
    </w:p>
    <w:p>
      <w:pPr>
        <w:spacing w:after="120"/>
        <w:jc w:val="both"/>
      </w:pPr>
      <w:r>
        <w:rPr>
          <w:rFonts w:ascii="Arial" w:cs="Arial" w:eastAsia="Arial" w:hAnsi="Arial"/>
          <w:sz w:val="24"/>
          <w:szCs w:val="24"/>
        </w:rPr>
        <w:t xml:space="preserve">Активы низкого качества означают:</w:t>
      </w:r>
    </w:p>
    <w:p>
      <w:pPr>
        <w:spacing w:after="120"/>
        <w:jc w:val="both"/>
      </w:pPr>
      <w:r>
        <w:rPr>
          <w:rFonts w:ascii="Arial" w:cs="Arial" w:eastAsia="Arial" w:hAnsi="Arial"/>
          <w:sz w:val="24"/>
          <w:szCs w:val="24"/>
        </w:rPr>
        <w:t xml:space="preserve">- активы, классифицированные как субстандартные, сомнительные и потери, в соответствии с требованиями НБКР о классификации активов и созданию резерва на покрытие потенциальных потерь и убытков;</w:t>
      </w:r>
    </w:p>
    <w:p>
      <w:pPr>
        <w:spacing w:after="120"/>
        <w:jc w:val="both"/>
      </w:pPr>
      <w:r>
        <w:rPr>
          <w:rFonts w:ascii="Arial" w:cs="Arial" w:eastAsia="Arial" w:hAnsi="Arial"/>
          <w:sz w:val="24"/>
          <w:szCs w:val="24"/>
        </w:rPr>
        <w:t xml:space="preserve">- активы (дебиторская задолженность), выплата процентов(2) или основной суммы по которым задерживается больше, чем на 30 дней;</w:t>
      </w:r>
    </w:p>
    <w:p>
      <w:pPr>
        <w:spacing w:after="120"/>
        <w:jc w:val="both"/>
      </w:pPr>
      <w:r>
        <w:rPr>
          <w:rFonts w:ascii="Arial" w:cs="Arial" w:eastAsia="Arial" w:hAnsi="Arial"/>
          <w:sz w:val="24"/>
          <w:szCs w:val="24"/>
        </w:rPr>
        <w:t xml:space="preserve">- активы, условия по которым были переоформлены в связи с ухудшением финансового состояния заемщика.</w:t>
      </w:r>
    </w:p>
    <w:p>
      <w:pPr>
        <w:spacing w:after="120"/>
        <w:jc w:val="both"/>
      </w:pPr>
      <w:r>
        <w:rPr>
          <w:rFonts w:ascii="Arial" w:cs="Arial" w:eastAsia="Arial" w:hAnsi="Arial"/>
          <w:sz w:val="24"/>
          <w:szCs w:val="24"/>
        </w:rPr>
        <w:t xml:space="preserve">Значительное участие - единоличное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sz w:val="24"/>
          <w:szCs w:val="24"/>
        </w:rPr>
        <w:t xml:space="preserve">Значительный участник - лицо, осуществляющее значительное участие в юридическом лице в соответствии с Законом "О банках и банковской деятельности в Кыргызской Республике".</w:t>
      </w:r>
    </w:p>
    <w:p>
      <w:pPr>
        <w:spacing w:after="120"/>
        <w:jc w:val="both"/>
      </w:pPr>
      <w:r>
        <w:rPr>
          <w:rFonts w:ascii="Arial" w:cs="Arial" w:eastAsia="Arial" w:hAnsi="Arial"/>
          <w:sz w:val="24"/>
          <w:szCs w:val="24"/>
        </w:rPr>
        <w:t xml:space="preserve">Контролирующее лицо - лицо, осуществляющее контроль над юридическим лицом.</w:t>
      </w:r>
    </w:p>
    <w:p>
      <w:pPr>
        <w:spacing w:after="120"/>
        <w:jc w:val="both"/>
      </w:pPr>
      <w:r>
        <w:rPr>
          <w:rFonts w:ascii="Arial" w:cs="Arial" w:eastAsia="Arial" w:hAnsi="Arial"/>
          <w:sz w:val="24"/>
          <w:szCs w:val="24"/>
        </w:rPr>
        <w:t xml:space="preserve">Принцип беспристрастности означает, что банк не имеет права выдавать кредиты инсайдерам и аффилированным лицам, а также значительным участникам, если условия предоставления таких кредитов являются более благоприятными, чем по кредитам, выданным в аналогичных условиях заемщикам, не имеющим с банком общие интересы, и значительным участникам банка.</w:t>
      </w:r>
    </w:p>
    <w:p>
      <w:pPr>
        <w:spacing w:after="120"/>
        <w:jc w:val="both"/>
      </w:pPr>
      <w:r>
        <w:rPr>
          <w:rFonts w:ascii="Arial" w:cs="Arial" w:eastAsia="Arial" w:hAnsi="Arial"/>
          <w:sz w:val="24"/>
          <w:szCs w:val="24"/>
        </w:rPr>
        <w:t xml:space="preserve">Операции с аффилированными лицами и инсайдерами - передача ресурсов или обязательств, проводимые между "связанными" сторонами, независимо от того, взимается ли при этом плата.</w:t>
      </w:r>
    </w:p>
    <w:p>
      <w:pPr>
        <w:spacing w:after="120"/>
        <w:jc w:val="both"/>
      </w:pPr>
      <w:r>
        <w:rPr>
          <w:rFonts w:ascii="Arial" w:cs="Arial" w:eastAsia="Arial" w:hAnsi="Arial"/>
          <w:sz w:val="24"/>
          <w:szCs w:val="24"/>
        </w:rPr>
        <w:t xml:space="preserve">Определения "Исламский банк", "Банк, имеющий "исламское окно", "Исламские принципы банковского дела и финансирования", "Стандарты Шариата", "Шариатский совет" - соответствуют нормам понятийного аппарата </w:t>
      </w:r>
      <w:hyperlink w:history="1" r:id="rIdzcg_ltdw8vofh4_omiz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kz2tpnw-bh04hc17cg0ei">
        <w:r>
          <w:rPr>
            <w:rFonts w:ascii="Arial" w:cs="Arial" w:eastAsia="Arial" w:hAnsi="Arial"/>
            <w:color w:val="1D4ED8"/>
            <w:sz w:val="24"/>
            <w:szCs w:val="24"/>
            <w:u w:val="single"/>
          </w:rPr>
          <w:t xml:space="preserve">15 сентября 2004 года № 24/4</w:t>
        </w:r>
      </w:hyperlink>
      <w:r>
        <w:rPr>
          <w:rFonts w:ascii="Arial" w:cs="Arial" w:eastAsia="Arial" w:hAnsi="Arial"/>
          <w:sz w:val="24"/>
          <w:szCs w:val="24"/>
        </w:rPr>
        <w:t xml:space="preserve">, </w:t>
      </w:r>
      <w:hyperlink w:history="1" r:id="rIdqqiwfjtfnyin4gl_hhuet">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 </w:t>
      </w:r>
      <w:hyperlink w:history="1" r:id="rIdwxck9rihb3v2dhb0dmtq1">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 </w:t>
      </w:r>
      <w:hyperlink w:history="1" r:id="rId5e9tosgkar_5qoex0cxvv">
        <w:r>
          <w:rPr>
            <w:rFonts w:ascii="Arial" w:cs="Arial" w:eastAsia="Arial" w:hAnsi="Arial"/>
            <w:color w:val="1D4ED8"/>
            <w:sz w:val="24"/>
            <w:szCs w:val="24"/>
            <w:u w:val="single"/>
          </w:rPr>
          <w:t xml:space="preserve">25 ноября 2009 года № 47/4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Общие правила</w:t>
      </w:r>
    </w:p>
    <w:p>
      <w:pPr>
        <w:spacing w:after="120"/>
        <w:jc w:val="both"/>
      </w:pPr>
      <w:r>
        <w:rPr>
          <w:rFonts w:ascii="Arial" w:cs="Arial" w:eastAsia="Arial" w:hAnsi="Arial"/>
          <w:sz w:val="24"/>
          <w:szCs w:val="24"/>
        </w:rPr>
        <w:t xml:space="preserve">2.1. Банк не имеет право кредитовать своих инсайдеров или аффилированных лиц, если при этом нарушаются требования принципа беспристрастности и имеет место любое из нижеперечисленных требований:</w:t>
      </w:r>
    </w:p>
    <w:p>
      <w:pPr>
        <w:spacing w:after="120"/>
        <w:jc w:val="both"/>
      </w:pPr>
      <w:r>
        <w:rPr>
          <w:rFonts w:ascii="Arial" w:cs="Arial" w:eastAsia="Arial" w:hAnsi="Arial"/>
          <w:sz w:val="24"/>
          <w:szCs w:val="24"/>
        </w:rPr>
        <w:t xml:space="preserve">A) Размер максимального размера риска на одного заемщика, связанного с банком (норматив К1.2), превышает 15% чистого суммарного капитала (ЧСК) банка;</w:t>
      </w:r>
    </w:p>
    <w:p>
      <w:pPr>
        <w:spacing w:after="120"/>
        <w:jc w:val="both"/>
      </w:pPr>
      <w:r>
        <w:rPr>
          <w:rFonts w:ascii="Arial" w:cs="Arial" w:eastAsia="Arial" w:hAnsi="Arial"/>
          <w:sz w:val="24"/>
          <w:szCs w:val="24"/>
        </w:rPr>
        <w:t xml:space="preserve">Б) Банк не соответствует требованиям по адекватности капитала и собственных средств, установленным НБКР;</w:t>
      </w:r>
    </w:p>
    <w:p>
      <w:pPr>
        <w:spacing w:after="120"/>
        <w:jc w:val="both"/>
      </w:pPr>
      <w:r>
        <w:rPr>
          <w:rFonts w:ascii="Arial" w:cs="Arial" w:eastAsia="Arial" w:hAnsi="Arial"/>
          <w:sz w:val="24"/>
          <w:szCs w:val="24"/>
        </w:rPr>
        <w:t xml:space="preserve">B) При наличии текущих убытков на последнюю отчетную дату.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1k2y0xqvaryzeqvsdcl0b">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Максимальный размер риска по межбанковским размещениям в другой банк, являющийся аффилированным лицом банка (норматив К1.4), не должен превышать 15% ЧСК.</w:t>
      </w:r>
    </w:p>
    <w:p>
      <w:pPr>
        <w:spacing w:after="120"/>
        <w:jc w:val="both"/>
      </w:pPr>
      <w:r>
        <w:rPr>
          <w:rFonts w:ascii="Arial" w:cs="Arial" w:eastAsia="Arial" w:hAnsi="Arial"/>
          <w:sz w:val="24"/>
          <w:szCs w:val="24"/>
        </w:rPr>
        <w:t xml:space="preserve">2.3. Максимальный размер риска по операциям с инсайдерами и/или аффилированными лицами, выраженный в качестве размера совокупной задолженности инсайдеров и/или аффилированных лиц перед банком, не должен превышать 60% ЧСК банка.</w:t>
      </w:r>
    </w:p>
    <w:p>
      <w:pPr>
        <w:spacing w:after="120"/>
        <w:jc w:val="both"/>
      </w:pPr>
      <w:r>
        <w:rPr>
          <w:rFonts w:ascii="Arial" w:cs="Arial" w:eastAsia="Arial" w:hAnsi="Arial"/>
          <w:sz w:val="24"/>
          <w:szCs w:val="24"/>
        </w:rPr>
        <w:t xml:space="preserve">2.4. Банкам рекомендуется установить внутренние пределы ограничения кредитования инсайдеров или аффилированных лиц, которые должны быть ниже установленных НБКР.</w:t>
      </w:r>
    </w:p>
    <w:p>
      <w:pPr>
        <w:spacing w:after="120"/>
        <w:jc w:val="both"/>
      </w:pPr>
      <w:r>
        <w:rPr>
          <w:rFonts w:ascii="Arial" w:cs="Arial" w:eastAsia="Arial" w:hAnsi="Arial"/>
          <w:sz w:val="24"/>
          <w:szCs w:val="24"/>
        </w:rPr>
        <w:t xml:space="preserve">2.5. Любая операция банка или его дочерней компании с инсайдером или аффилированным лицом должна быть заключена на условиях, подтверждающих безопасную и надежную банковскую практику.</w:t>
      </w:r>
    </w:p>
    <w:p>
      <w:pPr>
        <w:spacing w:after="120"/>
        <w:jc w:val="both"/>
      </w:pPr>
      <w:r>
        <w:rPr>
          <w:rFonts w:ascii="Arial" w:cs="Arial" w:eastAsia="Arial" w:hAnsi="Arial"/>
          <w:sz w:val="24"/>
          <w:szCs w:val="24"/>
        </w:rPr>
        <w:t xml:space="preserve">2.6. Любая сделка банка с любым лицом должна считаться сделкой с инсайдером или аффилированным лицом, если доходы (даже частично) по сделке используются для выгоды инсайдера или аффилированного лица банка или передаются в их распоряжение.</w:t>
      </w:r>
    </w:p>
    <w:p>
      <w:pPr>
        <w:spacing w:after="120"/>
        <w:jc w:val="both"/>
      </w:pPr>
      <w:r>
        <w:rPr>
          <w:rFonts w:ascii="Arial" w:cs="Arial" w:eastAsia="Arial" w:hAnsi="Arial"/>
          <w:sz w:val="24"/>
          <w:szCs w:val="24"/>
        </w:rPr>
        <w:t xml:space="preserve">2.7. Банк имеет право проводить операции с инсайдером или аффилированным лицом только в случае выполнения всех следующих условий:</w:t>
      </w:r>
    </w:p>
    <w:p>
      <w:pPr>
        <w:spacing w:after="120"/>
        <w:jc w:val="both"/>
      </w:pPr>
      <w:r>
        <w:rPr>
          <w:rFonts w:ascii="Arial" w:cs="Arial" w:eastAsia="Arial" w:hAnsi="Arial"/>
          <w:sz w:val="24"/>
          <w:szCs w:val="24"/>
        </w:rPr>
        <w:t xml:space="preserve">А. Операция может проводиться только на таких условиях и требованиях, которые не являются более льготными по сравнению с условиями и требованиями, применяемыми в это же время для подобных сделок между данным банком и другими лицами, которые не подпадают под эти нормы и не являются инсайдерами или аффилированными лицами банка. Такие условия и требования включают, в частности недопущение:</w:t>
      </w:r>
    </w:p>
    <w:p>
      <w:pPr>
        <w:spacing w:after="120"/>
        <w:jc w:val="both"/>
      </w:pPr>
      <w:r>
        <w:rPr>
          <w:rFonts w:ascii="Arial" w:cs="Arial" w:eastAsia="Arial" w:hAnsi="Arial"/>
          <w:sz w:val="24"/>
          <w:szCs w:val="24"/>
        </w:rPr>
        <w:t xml:space="preserve">(1) взимания более низких процентов или сборов по сравнению с теми, которые взимаются с других лиц;</w:t>
      </w:r>
    </w:p>
    <w:p>
      <w:pPr>
        <w:spacing w:after="120"/>
        <w:jc w:val="both"/>
      </w:pPr>
      <w:r>
        <w:rPr>
          <w:rFonts w:ascii="Arial" w:cs="Arial" w:eastAsia="Arial" w:hAnsi="Arial"/>
          <w:sz w:val="24"/>
          <w:szCs w:val="24"/>
        </w:rPr>
        <w:t xml:space="preserve">(2) выплаты более высоких процентов по депозитам(3) по сравнению с другими лицами;</w:t>
      </w:r>
    </w:p>
    <w:p>
      <w:pPr>
        <w:spacing w:after="120"/>
        <w:jc w:val="both"/>
      </w:pPr>
      <w:r>
        <w:rPr>
          <w:rFonts w:ascii="Arial" w:cs="Arial" w:eastAsia="Arial" w:hAnsi="Arial"/>
          <w:sz w:val="24"/>
          <w:szCs w:val="24"/>
        </w:rPr>
        <w:t xml:space="preserve">(3) принятие залога, который имеет более низкую стоимость, чем тот, который требуется от других лиц. При принятии залога не должна применяться методология, позволяющая оценить его выше, чем другой подобный залог;</w:t>
      </w:r>
    </w:p>
    <w:p>
      <w:pPr>
        <w:spacing w:after="120"/>
        <w:jc w:val="both"/>
      </w:pPr>
      <w:r>
        <w:rPr>
          <w:rFonts w:ascii="Arial" w:cs="Arial" w:eastAsia="Arial" w:hAnsi="Arial"/>
          <w:sz w:val="24"/>
          <w:szCs w:val="24"/>
        </w:rPr>
        <w:t xml:space="preserve">(4) выдачи кредитов, которые не были бы выданы другим лицам, из-за уровня риска данной операции или низкой кредитоспособности заемщика;</w:t>
      </w:r>
    </w:p>
    <w:p>
      <w:pPr>
        <w:spacing w:after="120"/>
        <w:jc w:val="both"/>
      </w:pPr>
      <w:r>
        <w:rPr>
          <w:rFonts w:ascii="Arial" w:cs="Arial" w:eastAsia="Arial" w:hAnsi="Arial"/>
          <w:sz w:val="24"/>
          <w:szCs w:val="24"/>
        </w:rPr>
        <w:t xml:space="preserve">(5) покупки актива низкого качества у инсайдера или аффилированного лица, или принятие актива низкого качества в качестве залога от инсайдера или аффилированного лица;</w:t>
      </w:r>
    </w:p>
    <w:p>
      <w:pPr>
        <w:spacing w:after="120"/>
        <w:jc w:val="both"/>
      </w:pPr>
      <w:r>
        <w:rPr>
          <w:rFonts w:ascii="Arial" w:cs="Arial" w:eastAsia="Arial" w:hAnsi="Arial"/>
          <w:sz w:val="24"/>
          <w:szCs w:val="24"/>
        </w:rPr>
        <w:t xml:space="preserve">(6) покупки актива по цене более высокой, чем та, которая могла бы быть уплачена другому лицу;</w:t>
      </w:r>
    </w:p>
    <w:p>
      <w:pPr>
        <w:spacing w:after="120"/>
        <w:jc w:val="both"/>
      </w:pPr>
      <w:r>
        <w:rPr>
          <w:rFonts w:ascii="Arial" w:cs="Arial" w:eastAsia="Arial" w:hAnsi="Arial"/>
          <w:sz w:val="24"/>
          <w:szCs w:val="24"/>
        </w:rPr>
        <w:t xml:space="preserve">(7) продажи актива по более низкой цене, чем та, которая могла бы быть принята от другого лица;</w:t>
      </w:r>
    </w:p>
    <w:p>
      <w:pPr>
        <w:spacing w:after="120"/>
        <w:jc w:val="both"/>
      </w:pPr>
      <w:r>
        <w:rPr>
          <w:rFonts w:ascii="Arial" w:cs="Arial" w:eastAsia="Arial" w:hAnsi="Arial"/>
          <w:sz w:val="24"/>
          <w:szCs w:val="24"/>
        </w:rPr>
        <w:t xml:space="preserve">(8) инвестирования в ценные бумаги, в которые банк в другом случае не стал бы инвестировать из-за уровня риска ценных бумаг или вида деятельности, которым занимается инвестор или рассматриваемое аффилированное лицо;</w:t>
      </w:r>
    </w:p>
    <w:p>
      <w:pPr>
        <w:spacing w:after="120"/>
        <w:jc w:val="both"/>
      </w:pPr>
      <w:r>
        <w:rPr>
          <w:rFonts w:ascii="Arial" w:cs="Arial" w:eastAsia="Arial" w:hAnsi="Arial"/>
          <w:sz w:val="24"/>
          <w:szCs w:val="24"/>
        </w:rPr>
        <w:t xml:space="preserve">(9) оплаты за товары, услуги или за аренду имущества более высокой цены, чем та, которая была бы уплачена другому лицу, или в условиях, при которых оплата не была бы произведена другому лицу;</w:t>
      </w:r>
    </w:p>
    <w:p>
      <w:pPr>
        <w:spacing w:after="120"/>
        <w:jc w:val="both"/>
      </w:pPr>
      <w:r>
        <w:rPr>
          <w:rFonts w:ascii="Arial" w:cs="Arial" w:eastAsia="Arial" w:hAnsi="Arial"/>
          <w:sz w:val="24"/>
          <w:szCs w:val="24"/>
        </w:rPr>
        <w:t xml:space="preserve">(10) пролонгации сроков возврата кредитов инсайдеров и аффилированных лиц, когда такая пролонгация не была бы сделана для другого лица.</w:t>
      </w:r>
    </w:p>
    <w:p>
      <w:pPr>
        <w:spacing w:after="120"/>
        <w:jc w:val="both"/>
      </w:pPr>
      <w:r>
        <w:rPr>
          <w:rFonts w:ascii="Arial" w:cs="Arial" w:eastAsia="Arial" w:hAnsi="Arial"/>
          <w:sz w:val="24"/>
          <w:szCs w:val="24"/>
        </w:rPr>
        <w:t xml:space="preserve">Б. В случае выдачи кредитов, его риск на момент одобрения Советом директоров не должен превышать риска, заложенного в кредитах, относящихся к удовлетворительным, согласно Положению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В. Решение должно приниматься Советом директоров, поименным голосованием, большинством голосов (более 2/3 от списочного состава членов Совета директоров банка) при отсутствии влияния (прямого или косвенного) со стороны заинтересованного в проведении операции лица. Любой член Совета директоров с прямой или косвенной заинтересованностью в предполагаемой операции должен покинуть заседание Совета директоров на время обсуждения вопроса, и он не имеет право голосовать по данному вопросу.</w:t>
      </w:r>
    </w:p>
    <w:p>
      <w:pPr>
        <w:spacing w:after="120"/>
        <w:jc w:val="both"/>
      </w:pPr>
      <w:r>
        <w:rPr>
          <w:rFonts w:ascii="Arial" w:cs="Arial" w:eastAsia="Arial" w:hAnsi="Arial"/>
          <w:sz w:val="24"/>
          <w:szCs w:val="24"/>
        </w:rPr>
        <w:t xml:space="preserve">Г. Банк должен вести письменный протокол одобрения такой операции, который должен включать в себя письменный анализ всех достоинств операции, включая обоснование того, что операция осуществляется не в ущерб банку и в его интересах. Анализ должен включать:</w:t>
      </w:r>
    </w:p>
    <w:p>
      <w:pPr>
        <w:spacing w:after="120"/>
        <w:jc w:val="both"/>
      </w:pPr>
      <w:r>
        <w:rPr>
          <w:rFonts w:ascii="Arial" w:cs="Arial" w:eastAsia="Arial" w:hAnsi="Arial"/>
          <w:sz w:val="24"/>
          <w:szCs w:val="24"/>
        </w:rPr>
        <w:t xml:space="preserve">(1) для кредитных операций - сумму кредита, срок кредита, процентную ставку, финансовую информацию о заемщике, доказывающую способность заемщика выплатить кредит в соответствии с договоренностью, и информацию, подтверждающую стоимость залога по кредиту;</w:t>
      </w:r>
    </w:p>
    <w:p>
      <w:pPr>
        <w:spacing w:after="120"/>
        <w:jc w:val="both"/>
      </w:pPr>
      <w:r>
        <w:rPr>
          <w:rFonts w:ascii="Arial" w:cs="Arial" w:eastAsia="Arial" w:hAnsi="Arial"/>
          <w:sz w:val="24"/>
          <w:szCs w:val="24"/>
        </w:rPr>
        <w:t xml:space="preserve">(2) для операций, связанных с покупкой или продажей активов - цену покупки и информацию, подтверждающую стоимость актива;</w:t>
      </w:r>
    </w:p>
    <w:p>
      <w:pPr>
        <w:spacing w:after="120"/>
        <w:jc w:val="both"/>
      </w:pPr>
      <w:r>
        <w:rPr>
          <w:rFonts w:ascii="Arial" w:cs="Arial" w:eastAsia="Arial" w:hAnsi="Arial"/>
          <w:sz w:val="24"/>
          <w:szCs w:val="24"/>
        </w:rPr>
        <w:t xml:space="preserve">(3) для инвестиций - оценку риска таких инвестиций и потенциальные выгоды для банка и рассматриваемого лица;</w:t>
      </w:r>
    </w:p>
    <w:p>
      <w:pPr>
        <w:spacing w:after="120"/>
        <w:jc w:val="both"/>
      </w:pPr>
      <w:r>
        <w:rPr>
          <w:rFonts w:ascii="Arial" w:cs="Arial" w:eastAsia="Arial" w:hAnsi="Arial"/>
          <w:sz w:val="24"/>
          <w:szCs w:val="24"/>
        </w:rPr>
        <w:t xml:space="preserve">(4) детальное объяснение причин необходимости данной операции;</w:t>
      </w:r>
    </w:p>
    <w:p>
      <w:pPr>
        <w:spacing w:after="120"/>
        <w:jc w:val="both"/>
      </w:pPr>
      <w:r>
        <w:rPr>
          <w:rFonts w:ascii="Arial" w:cs="Arial" w:eastAsia="Arial" w:hAnsi="Arial"/>
          <w:sz w:val="24"/>
          <w:szCs w:val="24"/>
        </w:rPr>
        <w:t xml:space="preserve">(5) для операций, включающих продажу/приобретение активов или услуг, Совет директоров должен рассмотреть не менее трех предложений о покупке/продаже актива или предоставлении услуги. Эти предложения должны быть сделаны лицами, не связанными с банком, и соответствовать среднерыночным ценам.</w:t>
      </w:r>
    </w:p>
    <w:p>
      <w:pPr>
        <w:spacing w:after="120"/>
        <w:jc w:val="both"/>
      </w:pPr>
      <w:r>
        <w:rPr>
          <w:rFonts w:ascii="Arial" w:cs="Arial" w:eastAsia="Arial" w:hAnsi="Arial"/>
          <w:sz w:val="24"/>
          <w:szCs w:val="24"/>
        </w:rPr>
        <w:t xml:space="preserve">Д. Инсайдеры, которые являются стороной в предполагаемой операции с банком или связаны с этой стороной общими интересами, должны в письменной форме раскрыть информацию о степени своего интереса в операции и степени взаимоотношений с другой стороной операции. Такое письменное раскрытие должно быть предоставлено Совету директоров до голосования по предполагаемой операции и должно быть частью протокола одобрения операции Советом директоров.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zrkm6rdnebztqvfh_c-y3">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 </w:t>
      </w:r>
      <w:hyperlink w:history="1" r:id="rId77q2qtgdbirx4tijzgw36">
        <w:r>
          <w:rPr>
            <w:rFonts w:ascii="Arial" w:cs="Arial" w:eastAsia="Arial" w:hAnsi="Arial"/>
            <w:color w:val="1D4ED8"/>
            <w:sz w:val="24"/>
            <w:szCs w:val="24"/>
            <w:u w:val="single"/>
          </w:rPr>
          <w:t xml:space="preserve">25 ноября 2009 года № 47/4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Председатель Совета директоров должен уведомить в письменной форме членов Совета директоров, что все применимые условия пункта 2.7 выполнены до того, как члены Совета директоров проголосуют по рассматриваемому вопросу. Любой член Совета директоров имеет право рассмотреть подтверждающую документацию до голосования. Каждый голосующий член Совета директоров должен лично подписать резолюцию одобрения операции. Резолюция должна ясно указывать, что член Совета директоров рассмотрел и понимает условия предполагаемой операции и лично прочитал анализ, требуемый подпунктом Г пункта 2.7.</w:t>
      </w:r>
    </w:p>
    <w:p>
      <w:pPr>
        <w:spacing w:after="120"/>
        <w:jc w:val="both"/>
      </w:pPr>
      <w:r>
        <w:rPr>
          <w:rFonts w:ascii="Arial" w:cs="Arial" w:eastAsia="Arial" w:hAnsi="Arial"/>
          <w:sz w:val="24"/>
          <w:szCs w:val="24"/>
        </w:rPr>
        <w:t xml:space="preserve">2.9. Положения подпунктов В, Г, и Д пункта 2.7 не относятся к приему депозитов банками от их инсайдеров или аффилированных лиц, при предоставлении расчетных и депозитных услуг или при выпуске кредитных карточек инсайдерам на тех же условиях и требованиях, что и для других клиентов банка.</w:t>
      </w:r>
    </w:p>
    <w:p>
      <w:pPr>
        <w:spacing w:after="120"/>
        <w:jc w:val="both"/>
      </w:pPr>
      <w:r>
        <w:rPr>
          <w:rFonts w:ascii="Arial" w:cs="Arial" w:eastAsia="Arial" w:hAnsi="Arial"/>
          <w:sz w:val="24"/>
          <w:szCs w:val="24"/>
        </w:rPr>
        <w:t xml:space="preserve">2.10. Исключения из пределов кредитования связанных лиц банка возможны в случаях, установленных в Инструкции об ограничениях кредитования, утвержденной </w:t>
      </w:r>
      <w:hyperlink w:history="1" r:id="rIdondvdehom-ihwkap72q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15 сентября 2004 года № 24/4 (рег. номер МЮ КР № 109-04 от 7 октября 2004 года).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f-cj7or51qgiuhvv3iil">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 Каждый кредит, выдаваемый инсайдеру или аффилированному лицу (за исключением межбанковского кредита в ходе обычной корреспондентской деятельности) должен быть обеспечен залогом, чистая стоимость реализации которого составляет не менее:</w:t>
      </w:r>
    </w:p>
    <w:p>
      <w:pPr>
        <w:spacing w:after="120"/>
        <w:jc w:val="both"/>
      </w:pPr>
      <w:r>
        <w:rPr>
          <w:rFonts w:ascii="Arial" w:cs="Arial" w:eastAsia="Arial" w:hAnsi="Arial"/>
          <w:sz w:val="24"/>
          <w:szCs w:val="24"/>
        </w:rPr>
        <w:t xml:space="preserve">А. 120 процентов от суммы кредита, если кредит обеспечивается ценными бумагами Правительства Кыргызской Республики или стран-членов Организации Экономического Сотрудничества и Развития и/или их Центральных банков, или связанным депозитом в банке, выдающем кредит.</w:t>
      </w:r>
    </w:p>
    <w:p>
      <w:pPr>
        <w:spacing w:after="120"/>
        <w:jc w:val="both"/>
      </w:pPr>
      <w:r>
        <w:rPr>
          <w:rFonts w:ascii="Arial" w:cs="Arial" w:eastAsia="Arial" w:hAnsi="Arial"/>
          <w:sz w:val="24"/>
          <w:szCs w:val="24"/>
        </w:rPr>
        <w:t xml:space="preserve">Связанный депозит означает отдельный сберегательный/срочный депозит (вклад), не являющийся корреспондентским счетом:</w:t>
      </w:r>
    </w:p>
    <w:p>
      <w:pPr>
        <w:spacing w:after="120"/>
        <w:jc w:val="both"/>
      </w:pPr>
      <w:r>
        <w:rPr>
          <w:rFonts w:ascii="Arial" w:cs="Arial" w:eastAsia="Arial" w:hAnsi="Arial"/>
          <w:sz w:val="24"/>
          <w:szCs w:val="24"/>
        </w:rPr>
        <w:t xml:space="preserve">- со сроком не менее срока выдаваемого кредита;</w:t>
      </w:r>
    </w:p>
    <w:p>
      <w:pPr>
        <w:spacing w:after="120"/>
        <w:jc w:val="both"/>
      </w:pPr>
      <w:r>
        <w:rPr>
          <w:rFonts w:ascii="Arial" w:cs="Arial" w:eastAsia="Arial" w:hAnsi="Arial"/>
          <w:sz w:val="24"/>
          <w:szCs w:val="24"/>
        </w:rPr>
        <w:t xml:space="preserve">- соответствующим образом оформленный как залог;</w:t>
      </w:r>
    </w:p>
    <w:p>
      <w:pPr>
        <w:spacing w:after="120"/>
        <w:jc w:val="both"/>
      </w:pPr>
      <w:r>
        <w:rPr>
          <w:rFonts w:ascii="Arial" w:cs="Arial" w:eastAsia="Arial" w:hAnsi="Arial"/>
          <w:sz w:val="24"/>
          <w:szCs w:val="24"/>
        </w:rPr>
        <w:t xml:space="preserve">- по которому запрещается движение средств; и</w:t>
      </w:r>
    </w:p>
    <w:p>
      <w:pPr>
        <w:spacing w:after="120"/>
        <w:jc w:val="both"/>
      </w:pPr>
      <w:r>
        <w:rPr>
          <w:rFonts w:ascii="Arial" w:cs="Arial" w:eastAsia="Arial" w:hAnsi="Arial"/>
          <w:sz w:val="24"/>
          <w:szCs w:val="24"/>
        </w:rPr>
        <w:t xml:space="preserve">- недоступный клиенту до тех пор, пока обязательства по кредиту не будут выполнены.</w:t>
      </w:r>
    </w:p>
    <w:p>
      <w:pPr>
        <w:spacing w:after="120"/>
        <w:jc w:val="both"/>
      </w:pPr>
      <w:r>
        <w:rPr>
          <w:rFonts w:ascii="Arial" w:cs="Arial" w:eastAsia="Arial" w:hAnsi="Arial"/>
          <w:sz w:val="24"/>
          <w:szCs w:val="24"/>
        </w:rPr>
        <w:t xml:space="preserve">Рыночная стоимость залогового обеспечения в виде ценных бумаг должна переоцениваться банком ежемесячно, в виде депозита в иностранной валюте - еженедельно.</w:t>
      </w:r>
    </w:p>
    <w:p>
      <w:pPr>
        <w:spacing w:after="120"/>
        <w:jc w:val="both"/>
      </w:pPr>
      <w:r>
        <w:rPr>
          <w:rFonts w:ascii="Arial" w:cs="Arial" w:eastAsia="Arial" w:hAnsi="Arial"/>
          <w:sz w:val="24"/>
          <w:szCs w:val="24"/>
        </w:rPr>
        <w:t xml:space="preserve">Б. 140 процентов от суммы кредита, в случае любого другого вида залога.</w:t>
      </w:r>
    </w:p>
    <w:p>
      <w:pPr>
        <w:spacing w:after="120"/>
        <w:jc w:val="both"/>
      </w:pPr>
      <w:r>
        <w:rPr>
          <w:rFonts w:ascii="Arial" w:cs="Arial" w:eastAsia="Arial" w:hAnsi="Arial"/>
          <w:sz w:val="24"/>
          <w:szCs w:val="24"/>
        </w:rPr>
        <w:t xml:space="preserve">Если стоимость залогового обеспечения становится со временем меньше величины, установленной в настоящей Инструкции, то такое обеспечение должно быть доведено дополнительно до требуемой величины путем заключения нового договора о залоге или внесением изменений в имеющийся договор о залоге и гарантировано дополнительным залоговым имуществом или заменено новым видом залога со стоимостью, достаточной для выполнения установленного требования, в срок не позднее 15-ти рабочих дней со дня переоценки.</w:t>
      </w:r>
    </w:p>
    <w:p>
      <w:pPr>
        <w:spacing w:after="120"/>
        <w:jc w:val="both"/>
      </w:pPr>
      <w:r>
        <w:rPr>
          <w:rFonts w:ascii="Arial" w:cs="Arial" w:eastAsia="Arial" w:hAnsi="Arial"/>
          <w:sz w:val="24"/>
          <w:szCs w:val="24"/>
        </w:rPr>
        <w:t xml:space="preserve">2.12. После одобрения и выдачи кредита инсайдеру или аффилированному лицу, такой кредит должен управляться (отслеживаться и оцениваться) таким же образом как управляются схожие кредиты другим, несвязанным лицам. Инвестиции аффилированным лицам, должны отслеживаться и оцениваться периодически таким же образом, как и другие инвестиции несвязанным лицам.</w:t>
      </w:r>
    </w:p>
    <w:p>
      <w:pPr>
        <w:spacing w:after="120"/>
        <w:jc w:val="both"/>
      </w:pPr>
      <w:r>
        <w:rPr>
          <w:rFonts w:ascii="Arial" w:cs="Arial" w:eastAsia="Arial" w:hAnsi="Arial"/>
          <w:sz w:val="24"/>
          <w:szCs w:val="24"/>
        </w:rPr>
        <w:t xml:space="preserve">2.13. В случае конфликта интересов, когда Совет директоров отказывается голосовать или не в состоянии принять решение по операции с инсайдером и/или аффилированным лицом, Совет директоров может решить 2/3 голосов передать вопрос на рассмотрение общего собрания акционеров. Совет директоров должен подготовить детальный отчет для собрания акционеров, который должен содержать полное описание предлагаемой операции, включая анализ, указанный в пункте 2.7. Акционер, который мог бы получить предпочтительный режим по данной операции (прямо или косвенно, или через лицо, с которым акционер имеет общие интересы) не может участвовать в обсуждении, влиять или пытаться влиять на голосование собрания акционеров, или голосовать по вопросу одобрения операции. Акционеры могут одобрить операцию, которая предоставляет предпочтительный режим инсайдеру только в случае 2/3 голосов "за" от общего количества акционеров. Если каждый акционер банка является инсайдером, который мог бы получить предпочтительный режим по данной операции (прямо или косвенно, или через лицо, с которым акционер имеет общие интересы) или, если такие лица составляют более трети от количества акционеров, операция не может рассматриваться собранием акционеров и не может быть осуществлена банком.</w:t>
      </w:r>
    </w:p>
    <w:p>
      <w:pPr>
        <w:spacing w:after="120"/>
        <w:jc w:val="both"/>
      </w:pPr>
      <w:r>
        <w:rPr>
          <w:rFonts w:ascii="Arial" w:cs="Arial" w:eastAsia="Arial" w:hAnsi="Arial"/>
          <w:sz w:val="24"/>
          <w:szCs w:val="24"/>
        </w:rPr>
        <w:t xml:space="preserve">Практика передачи вопросов в отношении конфликта интересов собранию акционеров не является предпочтительной и должна применяться только при исключительных обстоятельствах (отказ от голосования или не возможность принять решение по возникшему вопросу), которые представляют убедительные основания для такого действия. В конечном счете, Совет директоров несет ответственность за надежную и благоразумную деятельность банка, включая поддержание высоких стандартов этики и порядочности. Совет директоров должен предпринять любую попытку для решения вопроса в лучших интересах банка до того, как принять решение о передаче вопроса акционерам.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hl7dfyqcvvtutkz1kgdfv">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 Банк не может вступать в сделку с каким-либо лицом с целью предоставить ему возможность:</w:t>
      </w:r>
    </w:p>
    <w:p>
      <w:pPr>
        <w:spacing w:after="120"/>
        <w:jc w:val="both"/>
      </w:pPr>
      <w:r>
        <w:rPr>
          <w:rFonts w:ascii="Arial" w:cs="Arial" w:eastAsia="Arial" w:hAnsi="Arial"/>
          <w:sz w:val="24"/>
          <w:szCs w:val="24"/>
        </w:rPr>
        <w:t xml:space="preserve">- оплатить его обязательства перед инсайдером или аффилированным лицом банка;</w:t>
      </w:r>
    </w:p>
    <w:p>
      <w:pPr>
        <w:spacing w:after="120"/>
        <w:jc w:val="both"/>
      </w:pPr>
      <w:r>
        <w:rPr>
          <w:rFonts w:ascii="Arial" w:cs="Arial" w:eastAsia="Arial" w:hAnsi="Arial"/>
          <w:sz w:val="24"/>
          <w:szCs w:val="24"/>
        </w:rPr>
        <w:t xml:space="preserve">- покупать какое-либо имущество у инсайдера или аффилированного лица банка;</w:t>
      </w:r>
    </w:p>
    <w:p>
      <w:pPr>
        <w:spacing w:after="120"/>
        <w:jc w:val="both"/>
      </w:pPr>
      <w:r>
        <w:rPr>
          <w:rFonts w:ascii="Arial" w:cs="Arial" w:eastAsia="Arial" w:hAnsi="Arial"/>
          <w:sz w:val="24"/>
          <w:szCs w:val="24"/>
        </w:rPr>
        <w:t xml:space="preserve">- приобретать ценные бумаги, эмитированные аффилированным лицом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qgimg0ks6mra8u7ve8ee">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В случае если банк участвует собственными средствами в коммерческих или других небанковских организациях, то максимальный размер таких инвестиций, включая любые финансовые вложения и кредиты в каждую небанковскую организацию, должен составлять менее 20 процентов размера чистого суммарного капитала банка. Общий размер таких инвестиций не может превышать 60 процентов размера чистого суммарного капитала банка.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wnfgyw9a_kgddnqsuekkc">
        <w:r>
          <w:rPr>
            <w:rFonts w:ascii="Arial" w:cs="Arial" w:eastAsia="Arial" w:hAnsi="Arial"/>
            <w:color w:val="1D4ED8"/>
            <w:sz w:val="24"/>
            <w:szCs w:val="24"/>
            <w:u w:val="single"/>
          </w:rPr>
          <w:t xml:space="preserve">15 сентября 2004 года № 24/4</w:t>
        </w:r>
      </w:hyperlink>
      <w:r>
        <w:rPr>
          <w:rFonts w:ascii="Arial" w:cs="Arial" w:eastAsia="Arial" w:hAnsi="Arial"/>
          <w:sz w:val="24"/>
          <w:szCs w:val="24"/>
        </w:rPr>
        <w:t xml:space="preserve">, </w:t>
      </w:r>
      <w:hyperlink w:history="1" r:id="rId9sj2lzk71voylab11dfsi">
        <w:r>
          <w:rPr>
            <w:rFonts w:ascii="Arial" w:cs="Arial" w:eastAsia="Arial" w:hAnsi="Arial"/>
            <w:color w:val="1D4ED8"/>
            <w:sz w:val="24"/>
            <w:szCs w:val="24"/>
            <w:u w:val="single"/>
          </w:rPr>
          <w:t xml:space="preserve">10 июня 2009 года № 26/2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Протоколы и отчеты</w:t>
      </w:r>
    </w:p>
    <w:p>
      <w:pPr>
        <w:spacing w:after="120"/>
        <w:jc w:val="both"/>
      </w:pPr>
      <w:r>
        <w:rPr>
          <w:rFonts w:ascii="Arial" w:cs="Arial" w:eastAsia="Arial" w:hAnsi="Arial"/>
          <w:sz w:val="24"/>
          <w:szCs w:val="24"/>
        </w:rPr>
        <w:t xml:space="preserve">3.1. Банк должен вести документальные записи (отчеты) в соответствии с требованиями законодательства Кыргызской Республики и настоящей Инструкции. Эти записи должны содержать информацию обо всех инсайдерах и аффилированных лицах с указанием сумм и условий всех операций с этими лицами и лицами, связанными с инсайдерами общими интересами.</w:t>
      </w:r>
    </w:p>
    <w:p>
      <w:pPr>
        <w:spacing w:after="120"/>
        <w:jc w:val="both"/>
      </w:pPr>
      <w:r>
        <w:rPr>
          <w:rFonts w:ascii="Arial" w:cs="Arial" w:eastAsia="Arial" w:hAnsi="Arial"/>
          <w:sz w:val="24"/>
          <w:szCs w:val="24"/>
        </w:rPr>
        <w:t xml:space="preserve">3.2. Банк должен вести записи обо всех кредитах, полученных его инсайдерами от банков или о других операциях. Каждый инсайдер, получивший кредит в банке-корреспонденте или обратившийся с заявкой на получение кредита, должен не реже одного раза в полгода представлять в банк письменные отчеты обо всех существующих и вновь полученных им в течение отчетного периода кредитах, не позднее 10 числа месяца, следующего за отчетным. Для учета этих отчетов банк должен вести отдельное дело и при их обновлении банк должен составить протокол, где должны быть указаны все изменения, произошедшие за отчетный период.</w:t>
      </w:r>
    </w:p>
    <w:p>
      <w:pPr>
        <w:spacing w:after="120"/>
        <w:jc w:val="both"/>
      </w:pPr>
      <w:r>
        <w:rPr>
          <w:rFonts w:ascii="Arial" w:cs="Arial" w:eastAsia="Arial" w:hAnsi="Arial"/>
          <w:sz w:val="24"/>
          <w:szCs w:val="24"/>
        </w:rPr>
        <w:t xml:space="preserve">3.3. Каждый член Совета директоров и должностное лицо банка по крайней мере раз в год должны представлять Совету директоров и руководству банка письменное изложение информации в отношении его коммерческих, бизнес и других материальных интересов. Отчет должен включать перечень лиц, связанных с членом Совета директоров и исполнительным должностным лицом общими интересами, и степень таких интересов в каждом случае. Член Совета директоров и должностное лицо должны уведомлять банк в письменной форме в течение 2-х рабочих дней о любых изменениях информации в отчете.</w:t>
      </w:r>
    </w:p>
    <w:p>
      <w:pPr>
        <w:spacing w:after="120"/>
        <w:jc w:val="both"/>
      </w:pPr>
      <w:r>
        <w:rPr>
          <w:rFonts w:ascii="Arial" w:cs="Arial" w:eastAsia="Arial" w:hAnsi="Arial"/>
          <w:sz w:val="24"/>
          <w:szCs w:val="24"/>
        </w:rPr>
        <w:t xml:space="preserve">3.4. Банк должен поддерживать адекватную систему внутреннего контроля для обеспечения соответствия своей деятельности с требованиями настоящей Инструкции.</w:t>
      </w:r>
    </w:p>
    <w:p>
      <w:pPr>
        <w:spacing w:after="120"/>
        <w:jc w:val="both"/>
      </w:pPr>
      <w:r>
        <w:rPr>
          <w:rFonts w:ascii="Arial" w:cs="Arial" w:eastAsia="Arial" w:hAnsi="Arial"/>
          <w:sz w:val="24"/>
          <w:szCs w:val="24"/>
        </w:rPr>
        <w:t xml:space="preserve">3.5. Банк должен представлять в НБКР в составе ПРБО ежемесячно отчеты по формам </w:t>
      </w:r>
      <w:hyperlink w:history="1" r:id="rIdohjzfxcxn32nehirg3s-d">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can_to72ocnhf6vyv33q">
        <w:r>
          <w:rPr>
            <w:rFonts w:ascii="Arial" w:cs="Arial" w:eastAsia="Arial" w:hAnsi="Arial"/>
            <w:color w:val="1D4ED8"/>
            <w:sz w:val="24"/>
            <w:szCs w:val="24"/>
            <w:u w:val="single"/>
          </w:rPr>
          <w:t xml:space="preserve">4</w:t>
        </w:r>
      </w:hyperlink>
      <w:r>
        <w:rPr>
          <w:rFonts w:ascii="Arial" w:cs="Arial" w:eastAsia="Arial" w:hAnsi="Arial"/>
          <w:sz w:val="24"/>
          <w:szCs w:val="24"/>
        </w:rPr>
        <w:t xml:space="preserve"> и раз в полгода по формам </w:t>
      </w:r>
      <w:hyperlink w:history="1" r:id="rIdjpgbpc7wmwrlqbw6vzbmq">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52ucgtwbgeljrrfyt6jlg">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fgttredgifrefug3-qsz8">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eoyewkdj7qamc3hulicki">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tbw8ye_raaxhbinbfidmj">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jkzr3whranmddzsxhauax">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mh1q_3kdqt98cexkjok55">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p0dhne-viklitg7ymje2">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Все отчеты с соответствующими приложениями (анализом), требуемые в соответствии с настоящей Инструкцией, должны храниться в банке не менее 5 лет после возврата всей задолженности по кредиту и по завершении операции с инсайдерами и аффилированными лицами.</w:t>
      </w:r>
    </w:p>
    <w:p>
      <w:pPr>
        <w:spacing w:after="120"/>
        <w:jc w:val="both"/>
      </w:pPr>
      <w:r>
        <w:rPr>
          <w:rFonts w:ascii="Arial" w:cs="Arial" w:eastAsia="Arial" w:hAnsi="Arial"/>
          <w:sz w:val="24"/>
          <w:szCs w:val="24"/>
        </w:rPr>
        <w:t xml:space="preserve">4. Заключительные положения</w:t>
      </w:r>
    </w:p>
    <w:p>
      <w:pPr>
        <w:spacing w:after="120"/>
        <w:jc w:val="both"/>
      </w:pPr>
      <w:r>
        <w:rPr>
          <w:rFonts w:ascii="Arial" w:cs="Arial" w:eastAsia="Arial" w:hAnsi="Arial"/>
          <w:sz w:val="24"/>
          <w:szCs w:val="24"/>
        </w:rPr>
        <w:t xml:space="preserve">4.1. Проводимые банком операции с инсайдерами и аффилированными лицами не должны осуществляться во вред банку, интересам вкладчиков или других кредиторов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q922m3rjdl5mz_e1aed9">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Все члены Совета директоров и Правления банка, одобрившие выдачу кредита или проведение операции с инсайдерами или аффилированными лицами в нарушение требованиям настоящей Инструкции, несут полную ответственность за возврат задолженности банку по этому кредиту или операции.</w:t>
      </w:r>
    </w:p>
    <w:p>
      <w:pPr>
        <w:spacing w:after="120"/>
        <w:jc w:val="both"/>
      </w:pPr>
      <w:r>
        <w:rPr>
          <w:rFonts w:ascii="Arial" w:cs="Arial" w:eastAsia="Arial" w:hAnsi="Arial"/>
          <w:sz w:val="24"/>
          <w:szCs w:val="24"/>
        </w:rPr>
        <w:t xml:space="preserve">Если кредит выдан или операция проведена в нарушение требований настоящей Инструкции, в результате которой банк понес потери или не получил доход, то каждый член Совета директоров, Председатель и члены Правления, одобрившие операцию, несут полную ответственность за возмещение банку упущенной выгоды.</w:t>
      </w:r>
    </w:p>
    <w:p>
      <w:pPr>
        <w:spacing w:after="120"/>
        <w:jc w:val="both"/>
      </w:pPr>
      <w:r>
        <w:rPr>
          <w:rFonts w:ascii="Arial" w:cs="Arial" w:eastAsia="Arial" w:hAnsi="Arial"/>
          <w:sz w:val="24"/>
          <w:szCs w:val="24"/>
        </w:rPr>
        <w:t xml:space="preserve">4.3. Все внутренние документы банка (политики и процедуры) должны быть приведены в соответствие с требованиями настоящей Инструкции.</w:t>
      </w:r>
    </w:p>
    <w:p>
      <w:pPr>
        <w:spacing w:after="120"/>
        <w:jc w:val="both"/>
      </w:pPr>
      <w:r>
        <w:rPr>
          <w:rFonts w:ascii="Arial" w:cs="Arial" w:eastAsia="Arial" w:hAnsi="Arial"/>
          <w:sz w:val="24"/>
          <w:szCs w:val="24"/>
        </w:rPr>
        <w:t xml:space="preserve">4.4. Невыполнение требований настоящей Инструкции является основанием для применения мер и санкций со стороны НБКР, предусмотренные законодательством.</w:t>
      </w:r>
    </w:p>
    <w:p>
      <w:pPr>
        <w:spacing w:after="120"/>
        <w:jc w:val="both"/>
      </w:pPr>
      <w:r>
        <w:rPr>
          <w:rFonts w:ascii="Arial" w:cs="Arial" w:eastAsia="Arial" w:hAnsi="Arial"/>
          <w:sz w:val="24"/>
          <w:szCs w:val="24"/>
        </w:rPr>
        <w:t xml:space="preserve">(1) Для исламских банков - сделки, по условиям которых исламский банк предоставляет денежные средства.</w:t>
      </w:r>
    </w:p>
    <w:p>
      <w:pPr>
        <w:spacing w:after="120"/>
        <w:jc w:val="both"/>
      </w:pPr>
      <w:r>
        <w:rPr>
          <w:rFonts w:ascii="Arial" w:cs="Arial" w:eastAsia="Arial" w:hAnsi="Arial"/>
          <w:sz w:val="24"/>
          <w:szCs w:val="24"/>
        </w:rPr>
        <w:t xml:space="preserve">(2) Для исламских банков - наценка, основная сумма и/или другие платежи, оговоренные договором между банком и клиентом.</w:t>
      </w:r>
    </w:p>
    <w:p>
      <w:pPr>
        <w:spacing w:after="120"/>
        <w:jc w:val="both"/>
      </w:pPr>
      <w:r>
        <w:rPr>
          <w:rFonts w:ascii="Arial" w:cs="Arial" w:eastAsia="Arial" w:hAnsi="Arial"/>
          <w:sz w:val="24"/>
          <w:szCs w:val="24"/>
        </w:rPr>
        <w:t xml:space="preserve">(3) Депозит для исламских банков - это денежные средства клиентов, размещенные в исламском банке на основе договоров мудараба, кард хасан и вадиа йад даман.</w:t>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w:t>
      </w:r>
      <w:r>
        <w:rPr>
          <w:rFonts w:ascii="Arial" w:cs="Arial" w:eastAsia="Arial" w:hAnsi="Arial"/>
          <w:sz w:val="24"/>
          <w:szCs w:val="24"/>
        </w:rPr>
        <w:t xml:space="preserve">Краткие сведения об активных операциях с аффилированными лицами</w:t>
      </w:r>
    </w:p>
    <w:p>
      <w:pPr>
        <w:spacing w:after="120"/>
        <w:jc w:val="both"/>
      </w:pPr>
      <w:r>
        <w:rPr>
          <w:rFonts w:ascii="Arial" w:cs="Arial" w:eastAsia="Arial" w:hAnsi="Arial"/>
          <w:sz w:val="24"/>
          <w:szCs w:val="24"/>
        </w:rPr>
        <w:t xml:space="preserve">(тыс.сом)</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Информация об аффилированном лице</w:t>
      </w:r>
    </w:p>
    <w:p>
      <w:pPr>
        <w:spacing w:after="120"/>
        <w:ind w:firstLine="567"/>
        <w:jc w:val="left"/>
      </w:pPr>
      <w:r>
        <w:rPr>
          <w:rFonts w:ascii="Arial" w:cs="Arial" w:eastAsia="Arial" w:hAnsi="Arial"/>
          <w:sz w:val="20"/>
          <w:szCs w:val="20"/>
        </w:rPr>
        <w:t xml:space="preserve">│   ├──────────────────┬──────┬────────────────────────────────────────</w:t>
      </w:r>
    </w:p>
    <w:p>
      <w:pPr>
        <w:spacing w:after="120"/>
        <w:ind w:firstLine="567"/>
        <w:jc w:val="left"/>
      </w:pPr>
      <w:r>
        <w:rPr>
          <w:rFonts w:ascii="Arial" w:cs="Arial" w:eastAsia="Arial" w:hAnsi="Arial"/>
          <w:sz w:val="20"/>
          <w:szCs w:val="20"/>
        </w:rPr>
        <w:t xml:space="preserve">│   │    Наименование  │Группа│  Совокупная балансовая задолженность</w:t>
      </w:r>
    </w:p>
    <w:p>
      <w:pPr>
        <w:spacing w:after="120"/>
        <w:ind w:firstLine="567"/>
        <w:jc w:val="left"/>
      </w:pPr>
      <w:r>
        <w:rPr>
          <w:rFonts w:ascii="Arial" w:cs="Arial" w:eastAsia="Arial" w:hAnsi="Arial"/>
          <w:sz w:val="20"/>
          <w:szCs w:val="20"/>
        </w:rPr>
        <w:t xml:space="preserve">│   │  аффилированного │      │          аффилированного лица</w:t>
      </w:r>
    </w:p>
    <w:p>
      <w:pPr>
        <w:spacing w:after="120"/>
        <w:ind w:firstLine="567"/>
        <w:jc w:val="left"/>
      </w:pPr>
      <w:r>
        <w:rPr>
          <w:rFonts w:ascii="Arial" w:cs="Arial" w:eastAsia="Arial" w:hAnsi="Arial"/>
          <w:sz w:val="20"/>
          <w:szCs w:val="20"/>
        </w:rPr>
        <w:t xml:space="preserve">│   │       лица       │      ├──────────┬──────────┬──────┬──────────┬</w:t>
      </w:r>
    </w:p>
    <w:p>
      <w:pPr>
        <w:spacing w:after="120"/>
        <w:ind w:firstLine="567"/>
        <w:jc w:val="left"/>
      </w:pPr>
      <w:r>
        <w:rPr>
          <w:rFonts w:ascii="Arial" w:cs="Arial" w:eastAsia="Arial" w:hAnsi="Arial"/>
          <w:sz w:val="20"/>
          <w:szCs w:val="20"/>
        </w:rPr>
        <w:t xml:space="preserve">│   │                  │      │Кредиты и │Процентная│Прочие│Процентная│</w:t>
      </w:r>
    </w:p>
    <w:p>
      <w:pPr>
        <w:spacing w:after="120"/>
        <w:ind w:firstLine="567"/>
        <w:jc w:val="left"/>
      </w:pPr>
      <w:r>
        <w:rPr>
          <w:rFonts w:ascii="Arial" w:cs="Arial" w:eastAsia="Arial" w:hAnsi="Arial"/>
          <w:sz w:val="20"/>
          <w:szCs w:val="20"/>
        </w:rPr>
        <w:t xml:space="preserve">│   │                  │      │финансовая│  ставка  │активы│  ставка  │</w:t>
      </w:r>
    </w:p>
    <w:p>
      <w:pPr>
        <w:spacing w:after="120"/>
        <w:ind w:firstLine="567"/>
        <w:jc w:val="left"/>
      </w:pPr>
      <w:r>
        <w:rPr>
          <w:rFonts w:ascii="Arial" w:cs="Arial" w:eastAsia="Arial" w:hAnsi="Arial"/>
          <w:sz w:val="20"/>
          <w:szCs w:val="20"/>
        </w:rPr>
        <w:t xml:space="preserve">│   │                  │      │  аренда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         2        │   3  │     4    │     5    │   6  │     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│20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 │Всего операций с аффилированными лицами</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│22 │Самая крупная задолженность на одно аффилированное лицо</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Доля    │ Доля акций │</w:t>
      </w:r>
    </w:p>
    <w:p>
      <w:pPr>
        <w:spacing w:after="120"/>
        <w:ind w:firstLine="567"/>
        <w:jc w:val="left"/>
      </w:pPr>
      <w:r>
        <w:rPr>
          <w:rFonts w:ascii="Arial" w:cs="Arial" w:eastAsia="Arial" w:hAnsi="Arial"/>
          <w:sz w:val="20"/>
          <w:szCs w:val="20"/>
        </w:rPr>
        <w:t xml:space="preserve">────────────────────┬─────────┬─────────────┤ финансового│    банка,  │</w:t>
      </w:r>
    </w:p>
    <w:p>
      <w:pPr>
        <w:spacing w:after="120"/>
        <w:ind w:firstLine="567"/>
        <w:jc w:val="left"/>
      </w:pPr>
      <w:r>
        <w:rPr>
          <w:rFonts w:ascii="Arial" w:cs="Arial" w:eastAsia="Arial" w:hAnsi="Arial"/>
          <w:sz w:val="20"/>
          <w:szCs w:val="20"/>
        </w:rPr>
        <w:t xml:space="preserve">                    │Категория│Просроченные │   участия  │  которыми  │</w:t>
      </w:r>
    </w:p>
    <w:p>
      <w:pPr>
        <w:spacing w:after="120"/>
        <w:ind w:firstLine="567"/>
        <w:jc w:val="left"/>
      </w:pPr>
      <w:r>
        <w:rPr>
          <w:rFonts w:ascii="Arial" w:cs="Arial" w:eastAsia="Arial" w:hAnsi="Arial"/>
          <w:sz w:val="20"/>
          <w:szCs w:val="20"/>
        </w:rPr>
        <w:t xml:space="preserve">                    │классифи-│   активы    │   (акций)  │   владеет  │</w:t>
      </w:r>
    </w:p>
    <w:p>
      <w:pPr>
        <w:spacing w:after="120"/>
        <w:ind w:firstLine="567"/>
        <w:jc w:val="left"/>
      </w:pPr>
      <w:r>
        <w:rPr>
          <w:rFonts w:ascii="Arial" w:cs="Arial" w:eastAsia="Arial" w:hAnsi="Arial"/>
          <w:sz w:val="20"/>
          <w:szCs w:val="20"/>
        </w:rPr>
        <w:t xml:space="preserve">┬─────────────┬─────┤  кации  │             │афф. лица,  │  афф. лицо │</w:t>
      </w:r>
    </w:p>
    <w:p>
      <w:pPr>
        <w:spacing w:after="120"/>
        <w:ind w:firstLine="567"/>
        <w:jc w:val="left"/>
      </w:pPr>
      <w:r>
        <w:rPr>
          <w:rFonts w:ascii="Arial" w:cs="Arial" w:eastAsia="Arial" w:hAnsi="Arial"/>
          <w:sz w:val="20"/>
          <w:szCs w:val="20"/>
        </w:rPr>
        <w:t xml:space="preserve">│Забалансовые │Всего│         │             │  которыми  │     (%)    │</w:t>
      </w:r>
    </w:p>
    <w:p>
      <w:pPr>
        <w:spacing w:after="120"/>
        <w:ind w:firstLine="567"/>
        <w:jc w:val="left"/>
      </w:pPr>
      <w:r>
        <w:rPr>
          <w:rFonts w:ascii="Arial" w:cs="Arial" w:eastAsia="Arial" w:hAnsi="Arial"/>
          <w:sz w:val="20"/>
          <w:szCs w:val="20"/>
        </w:rPr>
        <w:t xml:space="preserve">│обязательства│     │         │             │владеет банк│            │</w:t>
      </w:r>
    </w:p>
    <w:p>
      <w:pPr>
        <w:spacing w:after="120"/>
        <w:ind w:firstLine="567"/>
        <w:jc w:val="left"/>
      </w:pPr>
      <w:r>
        <w:rPr>
          <w:rFonts w:ascii="Arial" w:cs="Arial" w:eastAsia="Arial" w:hAnsi="Arial"/>
          <w:sz w:val="20"/>
          <w:szCs w:val="20"/>
        </w:rPr>
        <w:t xml:space="preserve">│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8      │  9  │   10    │     11      │     12     │     13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w:t>
      </w:r>
      <w:r>
        <w:rPr>
          <w:rFonts w:ascii="Arial" w:cs="Arial" w:eastAsia="Arial" w:hAnsi="Arial"/>
          <w:sz w:val="24"/>
          <w:szCs w:val="24"/>
        </w:rPr>
        <w:t xml:space="preserve">Общие сведения об операциях с аффилированными лицами</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│N│Наиме-  │Сумма│Вид  │Дата  │Срок и│Про-  │Залог │Владе-│Усло- │При-│</w:t>
      </w:r>
    </w:p>
    <w:p>
      <w:pPr>
        <w:spacing w:after="120"/>
        <w:ind w:firstLine="567"/>
        <w:jc w:val="left"/>
      </w:pPr>
      <w:r>
        <w:rPr>
          <w:rFonts w:ascii="Arial" w:cs="Arial" w:eastAsia="Arial" w:hAnsi="Arial"/>
          <w:sz w:val="20"/>
          <w:szCs w:val="20"/>
        </w:rPr>
        <w:t xml:space="preserve">│ │нование │опе- │опе- │начала│дата  │цент- │по    │лец   │вия   │ме- │</w:t>
      </w:r>
    </w:p>
    <w:p>
      <w:pPr>
        <w:spacing w:after="120"/>
        <w:ind w:firstLine="567"/>
        <w:jc w:val="left"/>
      </w:pPr>
      <w:r>
        <w:rPr>
          <w:rFonts w:ascii="Arial" w:cs="Arial" w:eastAsia="Arial" w:hAnsi="Arial"/>
          <w:sz w:val="20"/>
          <w:szCs w:val="20"/>
        </w:rPr>
        <w:t xml:space="preserve">│ │аффили- │рации│рации│опера-│завер-│ная   │отно- │залога│прове-│ча- │</w:t>
      </w:r>
    </w:p>
    <w:p>
      <w:pPr>
        <w:spacing w:after="120"/>
        <w:ind w:firstLine="567"/>
        <w:jc w:val="left"/>
      </w:pPr>
      <w:r>
        <w:rPr>
          <w:rFonts w:ascii="Arial" w:cs="Arial" w:eastAsia="Arial" w:hAnsi="Arial"/>
          <w:sz w:val="20"/>
          <w:szCs w:val="20"/>
        </w:rPr>
        <w:t xml:space="preserve">│ │рован-  │(тыс.│[1]  │ции   │шения │ставка│шению │      │дения │ние │</w:t>
      </w:r>
    </w:p>
    <w:p>
      <w:pPr>
        <w:spacing w:after="120"/>
        <w:ind w:firstLine="567"/>
        <w:jc w:val="left"/>
      </w:pPr>
      <w:r>
        <w:rPr>
          <w:rFonts w:ascii="Arial" w:cs="Arial" w:eastAsia="Arial" w:hAnsi="Arial"/>
          <w:sz w:val="20"/>
          <w:szCs w:val="20"/>
        </w:rPr>
        <w:t xml:space="preserve">│ │ного    │сом) │     │      │опера │(%)   │к кре-│      │опера-│    │</w:t>
      </w:r>
    </w:p>
    <w:p>
      <w:pPr>
        <w:spacing w:after="120"/>
        <w:ind w:firstLine="567"/>
        <w:jc w:val="left"/>
      </w:pPr>
      <w:r>
        <w:rPr>
          <w:rFonts w:ascii="Arial" w:cs="Arial" w:eastAsia="Arial" w:hAnsi="Arial"/>
          <w:sz w:val="20"/>
          <w:szCs w:val="20"/>
        </w:rPr>
        <w:t xml:space="preserve">│ │лица    │     │     │      │ции   │      │диту  │      │ции   │    │</w:t>
      </w:r>
    </w:p>
    <w:p>
      <w:pPr>
        <w:spacing w:after="120"/>
        <w:ind w:firstLine="567"/>
        <w:jc w:val="left"/>
      </w:pPr>
      <w:r>
        <w:rPr>
          <w:rFonts w:ascii="Arial" w:cs="Arial" w:eastAsia="Arial" w:hAnsi="Arial"/>
          <w:sz w:val="20"/>
          <w:szCs w:val="20"/>
        </w:rPr>
        <w:t xml:space="preserve">│ │        │     │     │      │[2]   │      │[3]   │      │[4]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│Ниже приведены примеры раскрытия информации: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│1│Пример  │     │     │      │      │      │      │      │      │    │</w:t>
      </w:r>
    </w:p>
    <w:p>
      <w:pPr>
        <w:spacing w:after="120"/>
        <w:ind w:firstLine="567"/>
        <w:jc w:val="left"/>
      </w:pPr>
      <w:r>
        <w:rPr>
          <w:rFonts w:ascii="Arial" w:cs="Arial" w:eastAsia="Arial" w:hAnsi="Arial"/>
          <w:sz w:val="20"/>
          <w:szCs w:val="20"/>
        </w:rPr>
        <w:t xml:space="preserve">│ │1:      │     │     │      │      │      │      │      │      │    │</w:t>
      </w:r>
    </w:p>
    <w:p>
      <w:pPr>
        <w:spacing w:after="120"/>
        <w:ind w:firstLine="567"/>
        <w:jc w:val="left"/>
      </w:pPr>
      <w:r>
        <w:rPr>
          <w:rFonts w:ascii="Arial" w:cs="Arial" w:eastAsia="Arial" w:hAnsi="Arial"/>
          <w:sz w:val="20"/>
          <w:szCs w:val="20"/>
        </w:rPr>
        <w:t xml:space="preserve">│ │Дочерняя│     │     │      │      │      │      │      │      │    │</w:t>
      </w:r>
    </w:p>
    <w:p>
      <w:pPr>
        <w:spacing w:after="120"/>
        <w:ind w:firstLine="567"/>
        <w:jc w:val="left"/>
      </w:pPr>
      <w:r>
        <w:rPr>
          <w:rFonts w:ascii="Arial" w:cs="Arial" w:eastAsia="Arial" w:hAnsi="Arial"/>
          <w:sz w:val="20"/>
          <w:szCs w:val="20"/>
        </w:rPr>
        <w:t xml:space="preserve">│ │компания│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│2│Пример  │     │     │      │      │      │      │      │      │    │</w:t>
      </w:r>
    </w:p>
    <w:p>
      <w:pPr>
        <w:spacing w:after="120"/>
        <w:ind w:firstLine="567"/>
        <w:jc w:val="left"/>
      </w:pPr>
      <w:r>
        <w:rPr>
          <w:rFonts w:ascii="Arial" w:cs="Arial" w:eastAsia="Arial" w:hAnsi="Arial"/>
          <w:sz w:val="20"/>
          <w:szCs w:val="20"/>
        </w:rPr>
        <w:t xml:space="preserve">│ │2:      │     │     │      │      │      │      │      │      │    │</w:t>
      </w:r>
    </w:p>
    <w:p>
      <w:pPr>
        <w:spacing w:after="120"/>
        <w:ind w:firstLine="567"/>
        <w:jc w:val="left"/>
      </w:pPr>
      <w:r>
        <w:rPr>
          <w:rFonts w:ascii="Arial" w:cs="Arial" w:eastAsia="Arial" w:hAnsi="Arial"/>
          <w:sz w:val="20"/>
          <w:szCs w:val="20"/>
        </w:rPr>
        <w:t xml:space="preserve">│ │Компа-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│владею- │     │     │      │      │      │      │      │      │    │</w:t>
      </w:r>
    </w:p>
    <w:p>
      <w:pPr>
        <w:spacing w:after="120"/>
        <w:ind w:firstLine="567"/>
        <w:jc w:val="left"/>
      </w:pPr>
      <w:r>
        <w:rPr>
          <w:rFonts w:ascii="Arial" w:cs="Arial" w:eastAsia="Arial" w:hAnsi="Arial"/>
          <w:sz w:val="20"/>
          <w:szCs w:val="20"/>
        </w:rPr>
        <w:t xml:space="preserve">│ │щая     │     │     │      │      │      │      │      │      │    │</w:t>
      </w:r>
    </w:p>
    <w:p>
      <w:pPr>
        <w:spacing w:after="120"/>
        <w:ind w:firstLine="567"/>
        <w:jc w:val="left"/>
      </w:pPr>
      <w:r>
        <w:rPr>
          <w:rFonts w:ascii="Arial" w:cs="Arial" w:eastAsia="Arial" w:hAnsi="Arial"/>
          <w:sz w:val="20"/>
          <w:szCs w:val="20"/>
        </w:rPr>
        <w:t xml:space="preserve">│ │крупным │     │     │      │      │      │      │      │      │    │</w:t>
      </w:r>
    </w:p>
    <w:p>
      <w:pPr>
        <w:spacing w:after="120"/>
        <w:ind w:firstLine="567"/>
        <w:jc w:val="left"/>
      </w:pPr>
      <w:r>
        <w:rPr>
          <w:rFonts w:ascii="Arial" w:cs="Arial" w:eastAsia="Arial" w:hAnsi="Arial"/>
          <w:sz w:val="20"/>
          <w:szCs w:val="20"/>
        </w:rPr>
        <w:t xml:space="preserve">│ │пакетом │     │     │      │      │      │      │      │      │    │</w:t>
      </w:r>
    </w:p>
    <w:p>
      <w:pPr>
        <w:spacing w:after="120"/>
        <w:ind w:firstLine="567"/>
        <w:jc w:val="left"/>
      </w:pPr>
      <w:r>
        <w:rPr>
          <w:rFonts w:ascii="Arial" w:cs="Arial" w:eastAsia="Arial" w:hAnsi="Arial"/>
          <w:sz w:val="20"/>
          <w:szCs w:val="20"/>
        </w:rPr>
        <w:t xml:space="preserve">│ │акций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w:t>
      </w:r>
      <w:r>
        <w:rPr>
          <w:rFonts w:ascii="Arial" w:cs="Arial" w:eastAsia="Arial" w:hAnsi="Arial"/>
          <w:sz w:val="24"/>
          <w:szCs w:val="24"/>
        </w:rPr>
        <w:t xml:space="preserve">Сведения об аффилированных лицах банка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Название │   Характер    │   Процент    │  Наименование │Приме-│</w:t>
      </w:r>
    </w:p>
    <w:p>
      <w:pPr>
        <w:spacing w:after="120"/>
        <w:ind w:firstLine="567"/>
        <w:jc w:val="left"/>
      </w:pPr>
      <w:r>
        <w:rPr>
          <w:rFonts w:ascii="Arial" w:cs="Arial" w:eastAsia="Arial" w:hAnsi="Arial"/>
          <w:sz w:val="20"/>
          <w:szCs w:val="20"/>
        </w:rPr>
        <w:t xml:space="preserve">│   │ аффилиро- │  отношений    │   владения   │аффилированного│чание │</w:t>
      </w:r>
    </w:p>
    <w:p>
      <w:pPr>
        <w:spacing w:after="120"/>
        <w:ind w:firstLine="567"/>
        <w:jc w:val="left"/>
      </w:pPr>
      <w:r>
        <w:rPr>
          <w:rFonts w:ascii="Arial" w:cs="Arial" w:eastAsia="Arial" w:hAnsi="Arial"/>
          <w:sz w:val="20"/>
          <w:szCs w:val="20"/>
        </w:rPr>
        <w:t xml:space="preserve">│   │  ванного  │аффилированного│акциями/долями│ лица/основная │      │</w:t>
      </w:r>
    </w:p>
    <w:p>
      <w:pPr>
        <w:spacing w:after="120"/>
        <w:ind w:firstLine="567"/>
        <w:jc w:val="left"/>
      </w:pPr>
      <w:r>
        <w:rPr>
          <w:rFonts w:ascii="Arial" w:cs="Arial" w:eastAsia="Arial" w:hAnsi="Arial"/>
          <w:sz w:val="20"/>
          <w:szCs w:val="20"/>
        </w:rPr>
        <w:t xml:space="preserve">│   │   лица    │ лица с банком │в зависимости │  деятельность │      │</w:t>
      </w:r>
    </w:p>
    <w:p>
      <w:pPr>
        <w:spacing w:after="120"/>
        <w:ind w:firstLine="567"/>
        <w:jc w:val="left"/>
      </w:pPr>
      <w:r>
        <w:rPr>
          <w:rFonts w:ascii="Arial" w:cs="Arial" w:eastAsia="Arial" w:hAnsi="Arial"/>
          <w:sz w:val="20"/>
          <w:szCs w:val="20"/>
        </w:rPr>
        <w:t xml:space="preserve">│   │           │ (холдинговая  │ от отношения │               │      │</w:t>
      </w:r>
    </w:p>
    <w:p>
      <w:pPr>
        <w:spacing w:after="120"/>
        <w:ind w:firstLine="567"/>
        <w:jc w:val="left"/>
      </w:pPr>
      <w:r>
        <w:rPr>
          <w:rFonts w:ascii="Arial" w:cs="Arial" w:eastAsia="Arial" w:hAnsi="Arial"/>
          <w:sz w:val="20"/>
          <w:szCs w:val="20"/>
        </w:rPr>
        <w:t xml:space="preserve">│   │           │   компания,   │  к банку [5] │               │      │</w:t>
      </w:r>
    </w:p>
    <w:p>
      <w:pPr>
        <w:spacing w:after="120"/>
        <w:ind w:firstLine="567"/>
        <w:jc w:val="left"/>
      </w:pPr>
      <w:r>
        <w:rPr>
          <w:rFonts w:ascii="Arial" w:cs="Arial" w:eastAsia="Arial" w:hAnsi="Arial"/>
          <w:sz w:val="20"/>
          <w:szCs w:val="20"/>
        </w:rPr>
        <w:t xml:space="preserve">│   │           │   дочерняя,   │       %      │               │      │</w:t>
      </w:r>
    </w:p>
    <w:p>
      <w:pPr>
        <w:spacing w:after="120"/>
        <w:ind w:firstLine="567"/>
        <w:jc w:val="left"/>
      </w:pPr>
      <w:r>
        <w:rPr>
          <w:rFonts w:ascii="Arial" w:cs="Arial" w:eastAsia="Arial" w:hAnsi="Arial"/>
          <w:sz w:val="20"/>
          <w:szCs w:val="20"/>
        </w:rPr>
        <w:t xml:space="preserve">│   │           │  сестринская  │              │               │      │</w:t>
      </w:r>
    </w:p>
    <w:p>
      <w:pPr>
        <w:spacing w:after="120"/>
        <w:ind w:firstLine="567"/>
        <w:jc w:val="left"/>
      </w:pPr>
      <w:r>
        <w:rPr>
          <w:rFonts w:ascii="Arial" w:cs="Arial" w:eastAsia="Arial" w:hAnsi="Arial"/>
          <w:sz w:val="20"/>
          <w:szCs w:val="20"/>
        </w:rPr>
        <w:t xml:space="preserve">│   │           │компания и др.)│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[1] Укажите вид операции (кредит, гарантия, продажа/покупка актива, услуги и др.).</w:t>
      </w:r>
    </w:p>
    <w:p>
      <w:pPr>
        <w:spacing w:after="120"/>
        <w:jc w:val="both"/>
      </w:pPr>
      <w:r>
        <w:rPr>
          <w:rFonts w:ascii="Arial" w:cs="Arial" w:eastAsia="Arial" w:hAnsi="Arial"/>
          <w:sz w:val="24"/>
          <w:szCs w:val="24"/>
        </w:rPr>
        <w:t xml:space="preserve">[2] Для кредитов, забалансовых обязательств, контрактов и т.п.</w:t>
      </w:r>
    </w:p>
    <w:p>
      <w:pPr>
        <w:spacing w:after="120"/>
        <w:jc w:val="both"/>
      </w:pPr>
      <w:r>
        <w:rPr>
          <w:rFonts w:ascii="Arial" w:cs="Arial" w:eastAsia="Arial" w:hAnsi="Arial"/>
          <w:sz w:val="24"/>
          <w:szCs w:val="24"/>
        </w:rPr>
        <w:t xml:space="preserve">[3]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[4] Опишите основные условия операции.</w:t>
      </w:r>
    </w:p>
    <w:p>
      <w:pPr>
        <w:spacing w:after="120"/>
        <w:jc w:val="both"/>
      </w:pPr>
      <w:r>
        <w:rPr>
          <w:rFonts w:ascii="Arial" w:cs="Arial" w:eastAsia="Arial" w:hAnsi="Arial"/>
          <w:sz w:val="24"/>
          <w:szCs w:val="24"/>
        </w:rPr>
        <w:t xml:space="preserve">[5] Например: а) Банк владеет 50% акций компании В; б) холдинговая компания А владеет 55% акций банка; в) холдинговая банка владеет 100% акций сестринской компании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w:t>
      </w:r>
      <w:r>
        <w:rPr>
          <w:rFonts w:ascii="Arial" w:cs="Arial" w:eastAsia="Arial" w:hAnsi="Arial"/>
          <w:sz w:val="24"/>
          <w:szCs w:val="24"/>
        </w:rPr>
        <w:t xml:space="preserve"> Краткие сведения об активных операциях с инсайдерами
 (тыс.сом)</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Информация об инсайдере                   │</w:t>
      </w:r>
    </w:p>
    <w:p>
      <w:pPr>
        <w:spacing w:after="120"/>
        <w:ind w:firstLine="567"/>
        <w:jc w:val="left"/>
      </w:pPr>
      <w:r>
        <w:rPr>
          <w:rFonts w:ascii="Arial" w:cs="Arial" w:eastAsia="Arial" w:hAnsi="Arial"/>
          <w:sz w:val="20"/>
          <w:szCs w:val="20"/>
        </w:rPr>
        <w:t xml:space="preserve">│   ├──────┬─────┬────────────────────────────────────────────────────┤</w:t>
      </w:r>
    </w:p>
    <w:p>
      <w:pPr>
        <w:spacing w:after="120"/>
        <w:ind w:firstLine="567"/>
        <w:jc w:val="left"/>
      </w:pPr>
      <w:r>
        <w:rPr>
          <w:rFonts w:ascii="Arial" w:cs="Arial" w:eastAsia="Arial" w:hAnsi="Arial"/>
          <w:sz w:val="20"/>
          <w:szCs w:val="20"/>
        </w:rPr>
        <w:t xml:space="preserve">│   │наиме-│груп-│     Совокупная балансовая задолженность инсайдера  │</w:t>
      </w:r>
    </w:p>
    <w:p>
      <w:pPr>
        <w:spacing w:after="120"/>
        <w:ind w:firstLine="567"/>
        <w:jc w:val="left"/>
      </w:pPr>
      <w:r>
        <w:rPr>
          <w:rFonts w:ascii="Arial" w:cs="Arial" w:eastAsia="Arial" w:hAnsi="Arial"/>
          <w:sz w:val="20"/>
          <w:szCs w:val="20"/>
        </w:rPr>
        <w:t xml:space="preserve">│   │нова- │па   ├──────┬─────┬────┬─────┬──────┬────┬───────┬────────┤</w:t>
      </w:r>
    </w:p>
    <w:p>
      <w:pPr>
        <w:spacing w:after="120"/>
        <w:ind w:firstLine="567"/>
        <w:jc w:val="left"/>
      </w:pPr>
      <w:r>
        <w:rPr>
          <w:rFonts w:ascii="Arial" w:cs="Arial" w:eastAsia="Arial" w:hAnsi="Arial"/>
          <w:sz w:val="20"/>
          <w:szCs w:val="20"/>
        </w:rPr>
        <w:t xml:space="preserve">│   │ние   │     │кре-  │про- │про-│про- │заба- │все-│кате-  │просро- │</w:t>
      </w:r>
    </w:p>
    <w:p>
      <w:pPr>
        <w:spacing w:after="120"/>
        <w:ind w:firstLine="567"/>
        <w:jc w:val="left"/>
      </w:pPr>
      <w:r>
        <w:rPr>
          <w:rFonts w:ascii="Arial" w:cs="Arial" w:eastAsia="Arial" w:hAnsi="Arial"/>
          <w:sz w:val="20"/>
          <w:szCs w:val="20"/>
        </w:rPr>
        <w:t xml:space="preserve">│   │инсай-│     │диты и│цент-│чие │цент-│лансо-│го  │гория  │ченные  │</w:t>
      </w:r>
    </w:p>
    <w:p>
      <w:pPr>
        <w:spacing w:after="120"/>
        <w:ind w:firstLine="567"/>
        <w:jc w:val="left"/>
      </w:pPr>
      <w:r>
        <w:rPr>
          <w:rFonts w:ascii="Arial" w:cs="Arial" w:eastAsia="Arial" w:hAnsi="Arial"/>
          <w:sz w:val="20"/>
          <w:szCs w:val="20"/>
        </w:rPr>
        <w:t xml:space="preserve">│   │дера  │     │финан-│ная  │ак- │ная  │вые   │    │класси-│активы  │</w:t>
      </w:r>
    </w:p>
    <w:p>
      <w:pPr>
        <w:spacing w:after="120"/>
        <w:ind w:firstLine="567"/>
        <w:jc w:val="left"/>
      </w:pPr>
      <w:r>
        <w:rPr>
          <w:rFonts w:ascii="Arial" w:cs="Arial" w:eastAsia="Arial" w:hAnsi="Arial"/>
          <w:sz w:val="20"/>
          <w:szCs w:val="20"/>
        </w:rPr>
        <w:t xml:space="preserve">│   │      │     │совая │став-│тивы│став-│обяза-│    │фикации│(в днях)│</w:t>
      </w:r>
    </w:p>
    <w:p>
      <w:pPr>
        <w:spacing w:after="120"/>
        <w:ind w:firstLine="567"/>
        <w:jc w:val="left"/>
      </w:pPr>
      <w:r>
        <w:rPr>
          <w:rFonts w:ascii="Arial" w:cs="Arial" w:eastAsia="Arial" w:hAnsi="Arial"/>
          <w:sz w:val="20"/>
          <w:szCs w:val="20"/>
        </w:rPr>
        <w:t xml:space="preserve">│   │      │     │аренда│ка   │    │ка   │тель- │    │       │        │</w:t>
      </w:r>
    </w:p>
    <w:p>
      <w:pPr>
        <w:spacing w:after="120"/>
        <w:ind w:firstLine="567"/>
        <w:jc w:val="left"/>
      </w:pPr>
      <w:r>
        <w:rPr>
          <w:rFonts w:ascii="Arial" w:cs="Arial" w:eastAsia="Arial" w:hAnsi="Arial"/>
          <w:sz w:val="20"/>
          <w:szCs w:val="20"/>
        </w:rPr>
        <w:t xml:space="preserve">│   │      │     │      │(%)  │    │(%)  │ства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│20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 │Всего операций с инсайдерами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│22 │Самая крупная задолженность на одного      │    │       │        │</w:t>
      </w:r>
    </w:p>
    <w:p>
      <w:pPr>
        <w:spacing w:after="120"/>
        <w:ind w:firstLine="567"/>
        <w:jc w:val="left"/>
      </w:pPr>
      <w:r>
        <w:rPr>
          <w:rFonts w:ascii="Arial" w:cs="Arial" w:eastAsia="Arial" w:hAnsi="Arial"/>
          <w:sz w:val="20"/>
          <w:szCs w:val="20"/>
        </w:rPr>
        <w:t xml:space="preserve">│   │инсайдера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w:t>
      </w:r>
      <w:r>
        <w:rPr>
          <w:rFonts w:ascii="Arial" w:cs="Arial" w:eastAsia="Arial" w:hAnsi="Arial"/>
          <w:sz w:val="24"/>
          <w:szCs w:val="24"/>
        </w:rPr>
        <w:t xml:space="preserve">Общие сведения об операциях с инсайдерами</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│Ф.И.О.  │Сумма│Вид │Дата  │Срок и│Про- │Залог │Владе-│Усло- │При-│</w:t>
      </w:r>
    </w:p>
    <w:p>
      <w:pPr>
        <w:spacing w:after="120"/>
        <w:ind w:firstLine="567"/>
        <w:jc w:val="left"/>
      </w:pPr>
      <w:r>
        <w:rPr>
          <w:rFonts w:ascii="Arial" w:cs="Arial" w:eastAsia="Arial" w:hAnsi="Arial"/>
          <w:sz w:val="20"/>
          <w:szCs w:val="20"/>
        </w:rPr>
        <w:t xml:space="preserve">│   │инсайде-│опе- │опе-│начала│дата  │цент-│по    │лец   │вия   │ме- │</w:t>
      </w:r>
    </w:p>
    <w:p>
      <w:pPr>
        <w:spacing w:after="120"/>
        <w:ind w:firstLine="567"/>
        <w:jc w:val="left"/>
      </w:pPr>
      <w:r>
        <w:rPr>
          <w:rFonts w:ascii="Arial" w:cs="Arial" w:eastAsia="Arial" w:hAnsi="Arial"/>
          <w:sz w:val="20"/>
          <w:szCs w:val="20"/>
        </w:rPr>
        <w:t xml:space="preserve">│   │ра      │рации│ра- │опера-│завер-│ная  │отно- │залога│прове-│ча- │</w:t>
      </w:r>
    </w:p>
    <w:p>
      <w:pPr>
        <w:spacing w:after="120"/>
        <w:ind w:firstLine="567"/>
        <w:jc w:val="left"/>
      </w:pPr>
      <w:r>
        <w:rPr>
          <w:rFonts w:ascii="Arial" w:cs="Arial" w:eastAsia="Arial" w:hAnsi="Arial"/>
          <w:sz w:val="20"/>
          <w:szCs w:val="20"/>
        </w:rPr>
        <w:t xml:space="preserve">│   │        │(тыс.│ции │ции   │шения │став-│шению │      │дения │ние │</w:t>
      </w:r>
    </w:p>
    <w:p>
      <w:pPr>
        <w:spacing w:after="120"/>
        <w:ind w:firstLine="567"/>
        <w:jc w:val="left"/>
      </w:pPr>
      <w:r>
        <w:rPr>
          <w:rFonts w:ascii="Arial" w:cs="Arial" w:eastAsia="Arial" w:hAnsi="Arial"/>
          <w:sz w:val="20"/>
          <w:szCs w:val="20"/>
        </w:rPr>
        <w:t xml:space="preserve">│   │        │сом) │[6] │      │опера-│ка   │к кре-│      │опера-│    │</w:t>
      </w:r>
    </w:p>
    <w:p>
      <w:pPr>
        <w:spacing w:after="120"/>
        <w:ind w:firstLine="567"/>
        <w:jc w:val="left"/>
      </w:pPr>
      <w:r>
        <w:rPr>
          <w:rFonts w:ascii="Arial" w:cs="Arial" w:eastAsia="Arial" w:hAnsi="Arial"/>
          <w:sz w:val="20"/>
          <w:szCs w:val="20"/>
        </w:rPr>
        <w:t xml:space="preserve">│   │        │     │    │      │ции   │     │диту  │      │ции   │    │</w:t>
      </w:r>
    </w:p>
    <w:p>
      <w:pPr>
        <w:spacing w:after="120"/>
        <w:ind w:firstLine="567"/>
        <w:jc w:val="left"/>
      </w:pPr>
      <w:r>
        <w:rPr>
          <w:rFonts w:ascii="Arial" w:cs="Arial" w:eastAsia="Arial" w:hAnsi="Arial"/>
          <w:sz w:val="20"/>
          <w:szCs w:val="20"/>
        </w:rPr>
        <w:t xml:space="preserve">│   │        │     │    │      │[7]   │     │[8]   │      │[9]   │    │</w:t>
      </w:r>
    </w:p>
    <w:p>
      <w:pPr>
        <w:spacing w:after="120"/>
        <w:ind w:firstLine="567"/>
        <w:jc w:val="left"/>
      </w:pPr>
      <w:r>
        <w:rPr>
          <w:rFonts w:ascii="Arial" w:cs="Arial" w:eastAsia="Arial" w:hAnsi="Arial"/>
          <w:sz w:val="20"/>
          <w:szCs w:val="20"/>
        </w:rPr>
        <w:t xml:space="preserve">│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│Ниже приведены примеры раскрытия информации: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│Пример  │     │    │      │      │      │     │      │      │    │</w:t>
      </w:r>
    </w:p>
    <w:p>
      <w:pPr>
        <w:spacing w:after="120"/>
        <w:ind w:firstLine="567"/>
        <w:jc w:val="left"/>
      </w:pPr>
      <w:r>
        <w:rPr>
          <w:rFonts w:ascii="Arial" w:cs="Arial" w:eastAsia="Arial" w:hAnsi="Arial"/>
          <w:sz w:val="20"/>
          <w:szCs w:val="20"/>
        </w:rPr>
        <w:t xml:space="preserve">│   │1:      │     │    │      │      │      │     │      │      │    │</w:t>
      </w:r>
    </w:p>
    <w:p>
      <w:pPr>
        <w:spacing w:after="120"/>
        <w:ind w:firstLine="567"/>
        <w:jc w:val="left"/>
      </w:pPr>
      <w:r>
        <w:rPr>
          <w:rFonts w:ascii="Arial" w:cs="Arial" w:eastAsia="Arial" w:hAnsi="Arial"/>
          <w:sz w:val="20"/>
          <w:szCs w:val="20"/>
        </w:rPr>
        <w:t xml:space="preserve">│   │Ф.И.О., │     │    │      │      │      │     │      │      │    │</w:t>
      </w:r>
    </w:p>
    <w:p>
      <w:pPr>
        <w:spacing w:after="120"/>
        <w:ind w:firstLine="567"/>
        <w:jc w:val="left"/>
      </w:pPr>
      <w:r>
        <w:rPr>
          <w:rFonts w:ascii="Arial" w:cs="Arial" w:eastAsia="Arial" w:hAnsi="Arial"/>
          <w:sz w:val="20"/>
          <w:szCs w:val="20"/>
        </w:rPr>
        <w:t xml:space="preserve">│   │Предсе- │     │    │      │      │      │     │      │      │    │</w:t>
      </w:r>
    </w:p>
    <w:p>
      <w:pPr>
        <w:spacing w:after="120"/>
        <w:ind w:firstLine="567"/>
        <w:jc w:val="left"/>
      </w:pPr>
      <w:r>
        <w:rPr>
          <w:rFonts w:ascii="Arial" w:cs="Arial" w:eastAsia="Arial" w:hAnsi="Arial"/>
          <w:sz w:val="20"/>
          <w:szCs w:val="20"/>
        </w:rPr>
        <w:t xml:space="preserve">│   │датель  │     │    │      │      │      │     │      │      │    │</w:t>
      </w:r>
    </w:p>
    <w:p>
      <w:pPr>
        <w:spacing w:after="120"/>
        <w:ind w:firstLine="567"/>
        <w:jc w:val="left"/>
      </w:pPr>
      <w:r>
        <w:rPr>
          <w:rFonts w:ascii="Arial" w:cs="Arial" w:eastAsia="Arial" w:hAnsi="Arial"/>
          <w:sz w:val="20"/>
          <w:szCs w:val="20"/>
        </w:rPr>
        <w:t xml:space="preserve">│   │Правле-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│Ф.И.О., │     │    │      │      │      │     │      │      │    │</w:t>
      </w:r>
    </w:p>
    <w:p>
      <w:pPr>
        <w:spacing w:after="120"/>
        <w:ind w:firstLine="567"/>
        <w:jc w:val="left"/>
      </w:pPr>
      <w:r>
        <w:rPr>
          <w:rFonts w:ascii="Arial" w:cs="Arial" w:eastAsia="Arial" w:hAnsi="Arial"/>
          <w:sz w:val="20"/>
          <w:szCs w:val="20"/>
        </w:rPr>
        <w:t xml:space="preserve">│   │брат    │     │    │      │      │      │     │      │      │    │</w:t>
      </w:r>
    </w:p>
    <w:p>
      <w:pPr>
        <w:spacing w:after="120"/>
        <w:ind w:firstLine="567"/>
        <w:jc w:val="left"/>
      </w:pPr>
      <w:r>
        <w:rPr>
          <w:rFonts w:ascii="Arial" w:cs="Arial" w:eastAsia="Arial" w:hAnsi="Arial"/>
          <w:sz w:val="20"/>
          <w:szCs w:val="20"/>
        </w:rPr>
        <w:t xml:space="preserve">│   │Предсе- │     │    │      │      │      │     │      │      │    │</w:t>
      </w:r>
    </w:p>
    <w:p>
      <w:pPr>
        <w:spacing w:after="120"/>
        <w:ind w:firstLine="567"/>
        <w:jc w:val="left"/>
      </w:pPr>
      <w:r>
        <w:rPr>
          <w:rFonts w:ascii="Arial" w:cs="Arial" w:eastAsia="Arial" w:hAnsi="Arial"/>
          <w:sz w:val="20"/>
          <w:szCs w:val="20"/>
        </w:rPr>
        <w:t xml:space="preserve">│   │дателя  │     │    │      │      │      │     │      │      │    │</w:t>
      </w:r>
    </w:p>
    <w:p>
      <w:pPr>
        <w:spacing w:after="120"/>
        <w:ind w:firstLine="567"/>
        <w:jc w:val="left"/>
      </w:pPr>
      <w:r>
        <w:rPr>
          <w:rFonts w:ascii="Arial" w:cs="Arial" w:eastAsia="Arial" w:hAnsi="Arial"/>
          <w:sz w:val="20"/>
          <w:szCs w:val="20"/>
        </w:rPr>
        <w:t xml:space="preserve">│   │Правле-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│Компания│     │    │      │      │      │     │      │      │    │</w:t>
      </w:r>
    </w:p>
    <w:p>
      <w:pPr>
        <w:spacing w:after="120"/>
        <w:ind w:firstLine="567"/>
        <w:jc w:val="left"/>
      </w:pPr>
      <w:r>
        <w:rPr>
          <w:rFonts w:ascii="Arial" w:cs="Arial" w:eastAsia="Arial" w:hAnsi="Arial"/>
          <w:sz w:val="20"/>
          <w:szCs w:val="20"/>
        </w:rPr>
        <w:t xml:space="preserve">│   │X, отец │     │    │      │      │      │     │      │      │    │</w:t>
      </w:r>
    </w:p>
    <w:p>
      <w:pPr>
        <w:spacing w:after="120"/>
        <w:ind w:firstLine="567"/>
        <w:jc w:val="left"/>
      </w:pPr>
      <w:r>
        <w:rPr>
          <w:rFonts w:ascii="Arial" w:cs="Arial" w:eastAsia="Arial" w:hAnsi="Arial"/>
          <w:sz w:val="20"/>
          <w:szCs w:val="20"/>
        </w:rPr>
        <w:t xml:space="preserve">│   │Предсе- │     │    │      │      │      │     │      │      │    │</w:t>
      </w:r>
    </w:p>
    <w:p>
      <w:pPr>
        <w:spacing w:after="120"/>
        <w:ind w:firstLine="567"/>
        <w:jc w:val="left"/>
      </w:pPr>
      <w:r>
        <w:rPr>
          <w:rFonts w:ascii="Arial" w:cs="Arial" w:eastAsia="Arial" w:hAnsi="Arial"/>
          <w:sz w:val="20"/>
          <w:szCs w:val="20"/>
        </w:rPr>
        <w:t xml:space="preserve">│   │дателя  │     │    │      │      │      │     │      │      │    │</w:t>
      </w:r>
    </w:p>
    <w:p>
      <w:pPr>
        <w:spacing w:after="120"/>
        <w:ind w:firstLine="567"/>
        <w:jc w:val="left"/>
      </w:pPr>
      <w:r>
        <w:rPr>
          <w:rFonts w:ascii="Arial" w:cs="Arial" w:eastAsia="Arial" w:hAnsi="Arial"/>
          <w:sz w:val="20"/>
          <w:szCs w:val="20"/>
        </w:rPr>
        <w:t xml:space="preserve">│   │Правле-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   │владеет │     │    │      │      │      │     │      │      │    │</w:t>
      </w:r>
    </w:p>
    <w:p>
      <w:pPr>
        <w:spacing w:after="120"/>
        <w:ind w:firstLine="567"/>
        <w:jc w:val="left"/>
      </w:pPr>
      <w:r>
        <w:rPr>
          <w:rFonts w:ascii="Arial" w:cs="Arial" w:eastAsia="Arial" w:hAnsi="Arial"/>
          <w:sz w:val="20"/>
          <w:szCs w:val="20"/>
        </w:rPr>
        <w:t xml:space="preserve">│   │50%     │     │    │      │      │      │     │      │      │    │</w:t>
      </w:r>
    </w:p>
    <w:p>
      <w:pPr>
        <w:spacing w:after="120"/>
        <w:ind w:firstLine="567"/>
        <w:jc w:val="left"/>
      </w:pPr>
      <w:r>
        <w:rPr>
          <w:rFonts w:ascii="Arial" w:cs="Arial" w:eastAsia="Arial" w:hAnsi="Arial"/>
          <w:sz w:val="20"/>
          <w:szCs w:val="20"/>
        </w:rPr>
        <w:t xml:space="preserve">│   │акций   │     │    │      │      │      │     │      │      │    │</w:t>
      </w:r>
    </w:p>
    <w:p>
      <w:pPr>
        <w:spacing w:after="120"/>
        <w:ind w:firstLine="567"/>
        <w:jc w:val="left"/>
      </w:pPr>
      <w:r>
        <w:rPr>
          <w:rFonts w:ascii="Arial" w:cs="Arial" w:eastAsia="Arial" w:hAnsi="Arial"/>
          <w:sz w:val="20"/>
          <w:szCs w:val="20"/>
        </w:rPr>
        <w:t xml:space="preserve">│   │компании│     │    │      │      │      │     │      │      │    │</w:t>
      </w:r>
    </w:p>
    <w:p>
      <w:pPr>
        <w:spacing w:after="120"/>
        <w:ind w:firstLine="567"/>
        <w:jc w:val="left"/>
      </w:pPr>
      <w:r>
        <w:rPr>
          <w:rFonts w:ascii="Arial" w:cs="Arial" w:eastAsia="Arial" w:hAnsi="Arial"/>
          <w:sz w:val="20"/>
          <w:szCs w:val="20"/>
        </w:rPr>
        <w:t xml:space="preserve">│   │X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│Пример  │     │    │      │      │      │     │      │      │    │</w:t>
      </w:r>
    </w:p>
    <w:p>
      <w:pPr>
        <w:spacing w:after="120"/>
        <w:ind w:firstLine="567"/>
        <w:jc w:val="left"/>
      </w:pPr>
      <w:r>
        <w:rPr>
          <w:rFonts w:ascii="Arial" w:cs="Arial" w:eastAsia="Arial" w:hAnsi="Arial"/>
          <w:sz w:val="20"/>
          <w:szCs w:val="20"/>
        </w:rPr>
        <w:t xml:space="preserve">│   │2:      │     │    │      │      │      │     │      │      │    │</w:t>
      </w:r>
    </w:p>
    <w:p>
      <w:pPr>
        <w:spacing w:after="120"/>
        <w:ind w:firstLine="567"/>
        <w:jc w:val="left"/>
      </w:pPr>
      <w:r>
        <w:rPr>
          <w:rFonts w:ascii="Arial" w:cs="Arial" w:eastAsia="Arial" w:hAnsi="Arial"/>
          <w:sz w:val="20"/>
          <w:szCs w:val="20"/>
        </w:rPr>
        <w:t xml:space="preserve">│   │Владель-│     │    │      │      │      │     │      │      │    │</w:t>
      </w:r>
    </w:p>
    <w:p>
      <w:pPr>
        <w:spacing w:after="120"/>
        <w:ind w:firstLine="567"/>
        <w:jc w:val="left"/>
      </w:pPr>
      <w:r>
        <w:rPr>
          <w:rFonts w:ascii="Arial" w:cs="Arial" w:eastAsia="Arial" w:hAnsi="Arial"/>
          <w:sz w:val="20"/>
          <w:szCs w:val="20"/>
        </w:rPr>
        <w:t xml:space="preserve">│   │цы      │     │    │      │      │      │     │      │      │    │</w:t>
      </w:r>
    </w:p>
    <w:p>
      <w:pPr>
        <w:spacing w:after="120"/>
        <w:ind w:firstLine="567"/>
        <w:jc w:val="left"/>
      </w:pPr>
      <w:r>
        <w:rPr>
          <w:rFonts w:ascii="Arial" w:cs="Arial" w:eastAsia="Arial" w:hAnsi="Arial"/>
          <w:sz w:val="20"/>
          <w:szCs w:val="20"/>
        </w:rPr>
        <w:t xml:space="preserve">│   │крупных │     │    │      │      │      │     │      │      │    │</w:t>
      </w:r>
    </w:p>
    <w:p>
      <w:pPr>
        <w:spacing w:after="120"/>
        <w:ind w:firstLine="567"/>
        <w:jc w:val="left"/>
      </w:pPr>
      <w:r>
        <w:rPr>
          <w:rFonts w:ascii="Arial" w:cs="Arial" w:eastAsia="Arial" w:hAnsi="Arial"/>
          <w:sz w:val="20"/>
          <w:szCs w:val="20"/>
        </w:rPr>
        <w:t xml:space="preserve">│   │пакетов │     │    │      │      │      │     │      │      │    │</w:t>
      </w:r>
    </w:p>
    <w:p>
      <w:pPr>
        <w:spacing w:after="120"/>
        <w:ind w:firstLine="567"/>
        <w:jc w:val="left"/>
      </w:pPr>
      <w:r>
        <w:rPr>
          <w:rFonts w:ascii="Arial" w:cs="Arial" w:eastAsia="Arial" w:hAnsi="Arial"/>
          <w:sz w:val="20"/>
          <w:szCs w:val="20"/>
        </w:rPr>
        <w:t xml:space="preserve">│   │акций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      │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[6] Укажите вид операции (кредит, гарантия, продажа/покупка актива, услуги и др.).</w:t>
      </w:r>
    </w:p>
    <w:p>
      <w:pPr>
        <w:spacing w:after="120"/>
        <w:jc w:val="both"/>
      </w:pPr>
      <w:r>
        <w:rPr>
          <w:rFonts w:ascii="Arial" w:cs="Arial" w:eastAsia="Arial" w:hAnsi="Arial"/>
          <w:sz w:val="24"/>
          <w:szCs w:val="24"/>
        </w:rPr>
        <w:t xml:space="preserve">[7] Для кредитов, забалансовых обязательств, контрактов и т.п.</w:t>
      </w:r>
    </w:p>
    <w:p>
      <w:pPr>
        <w:spacing w:after="120"/>
        <w:jc w:val="both"/>
      </w:pPr>
      <w:r>
        <w:rPr>
          <w:rFonts w:ascii="Arial" w:cs="Arial" w:eastAsia="Arial" w:hAnsi="Arial"/>
          <w:sz w:val="24"/>
          <w:szCs w:val="24"/>
        </w:rPr>
        <w:t xml:space="preserve">[8]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[9] Опишите основные условия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w:t>
      </w:r>
      <w:r>
        <w:rPr>
          <w:rFonts w:ascii="Arial" w:cs="Arial" w:eastAsia="Arial" w:hAnsi="Arial"/>
          <w:sz w:val="24"/>
          <w:szCs w:val="24"/>
        </w:rPr>
        <w:t xml:space="preserve"> Сведения о лицах, входящих в круг родственников инсайдера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Ф.И.О. инсайдера│  Занимаемая  │Ф.И.О. близкого│Степень родства │</w:t>
      </w:r>
    </w:p>
    <w:p>
      <w:pPr>
        <w:spacing w:after="120"/>
        <w:ind w:firstLine="567"/>
        <w:jc w:val="left"/>
      </w:pPr>
      <w:r>
        <w:rPr>
          <w:rFonts w:ascii="Arial" w:cs="Arial" w:eastAsia="Arial" w:hAnsi="Arial"/>
          <w:sz w:val="20"/>
          <w:szCs w:val="20"/>
        </w:rPr>
        <w:t xml:space="preserve">│   │                 │   должность  │  родственника │   (родители,   │</w:t>
      </w:r>
    </w:p>
    <w:p>
      <w:pPr>
        <w:spacing w:after="120"/>
        <w:ind w:firstLine="567"/>
        <w:jc w:val="left"/>
      </w:pPr>
      <w:r>
        <w:rPr>
          <w:rFonts w:ascii="Arial" w:cs="Arial" w:eastAsia="Arial" w:hAnsi="Arial"/>
          <w:sz w:val="20"/>
          <w:szCs w:val="20"/>
        </w:rPr>
        <w:t xml:space="preserve">│   │                 │    в банке   │               │супруг/супруга и│</w:t>
      </w:r>
    </w:p>
    <w:p>
      <w:pPr>
        <w:spacing w:after="120"/>
        <w:ind w:firstLine="567"/>
        <w:jc w:val="left"/>
      </w:pPr>
      <w:r>
        <w:rPr>
          <w:rFonts w:ascii="Arial" w:cs="Arial" w:eastAsia="Arial" w:hAnsi="Arial"/>
          <w:sz w:val="20"/>
          <w:szCs w:val="20"/>
        </w:rPr>
        <w:t xml:space="preserve">│   │                 │              │               │      т.д.)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7
 </w:t>
      </w:r>
      <w:r>
        <w:rPr>
          <w:rFonts w:ascii="Arial" w:cs="Arial" w:eastAsia="Arial" w:hAnsi="Arial"/>
          <w:sz w:val="24"/>
          <w:szCs w:val="24"/>
        </w:rPr>
        <w:t xml:space="preserve"> Сведения о других связанных лицах</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│Ф.И.О. инсайдера │  Занимаемая  │Ф.И.О. связанного│   Раскрытие  │</w:t>
      </w:r>
    </w:p>
    <w:p>
      <w:pPr>
        <w:spacing w:after="120"/>
        <w:ind w:firstLine="567"/>
        <w:jc w:val="left"/>
      </w:pPr>
      <w:r>
        <w:rPr>
          <w:rFonts w:ascii="Arial" w:cs="Arial" w:eastAsia="Arial" w:hAnsi="Arial"/>
          <w:sz w:val="20"/>
          <w:szCs w:val="20"/>
        </w:rPr>
        <w:t xml:space="preserve">│   │                 │   должность  │      лица       │    степени   │</w:t>
      </w:r>
    </w:p>
    <w:p>
      <w:pPr>
        <w:spacing w:after="120"/>
        <w:ind w:firstLine="567"/>
        <w:jc w:val="left"/>
      </w:pPr>
      <w:r>
        <w:rPr>
          <w:rFonts w:ascii="Arial" w:cs="Arial" w:eastAsia="Arial" w:hAnsi="Arial"/>
          <w:sz w:val="20"/>
          <w:szCs w:val="20"/>
        </w:rPr>
        <w:t xml:space="preserve">│   │                 │   в банке    │                 │  связанности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Форма 8
 </w:t>
      </w:r>
      <w:r>
        <w:rPr>
          <w:rFonts w:ascii="Arial" w:cs="Arial" w:eastAsia="Arial" w:hAnsi="Arial"/>
          <w:sz w:val="24"/>
          <w:szCs w:val="24"/>
        </w:rPr>
        <w:t xml:space="preserve"> Сведения о юридических лицах, в которых инсайдеры банка, лица, входящие в круг родственников инсайдера или другие связанные лица обладают контролем</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│Ф.И.О. инсайдера│  Занимаемая │Наименование │     Отношение      │</w:t>
      </w:r>
    </w:p>
    <w:p>
      <w:pPr>
        <w:spacing w:after="120"/>
        <w:ind w:firstLine="567"/>
        <w:jc w:val="left"/>
      </w:pPr>
      <w:r>
        <w:rPr>
          <w:rFonts w:ascii="Arial" w:cs="Arial" w:eastAsia="Arial" w:hAnsi="Arial"/>
          <w:sz w:val="20"/>
          <w:szCs w:val="20"/>
        </w:rPr>
        <w:t xml:space="preserve">│   │                │  должность  │юридического │    к инсайдеру     │</w:t>
      </w:r>
    </w:p>
    <w:p>
      <w:pPr>
        <w:spacing w:after="120"/>
        <w:ind w:firstLine="567"/>
        <w:jc w:val="left"/>
      </w:pPr>
      <w:r>
        <w:rPr>
          <w:rFonts w:ascii="Arial" w:cs="Arial" w:eastAsia="Arial" w:hAnsi="Arial"/>
          <w:sz w:val="20"/>
          <w:szCs w:val="20"/>
        </w:rPr>
        <w:t xml:space="preserve">│   │                │   в банке   │лица/основная│   и доля (в %%)    │</w:t>
      </w:r>
    </w:p>
    <w:p>
      <w:pPr>
        <w:spacing w:after="120"/>
        <w:ind w:firstLine="567"/>
        <w:jc w:val="left"/>
      </w:pPr>
      <w:r>
        <w:rPr>
          <w:rFonts w:ascii="Arial" w:cs="Arial" w:eastAsia="Arial" w:hAnsi="Arial"/>
          <w:sz w:val="20"/>
          <w:szCs w:val="20"/>
        </w:rPr>
        <w:t xml:space="preserve">│   │                │             │деятельность │  владения акциями  │</w:t>
      </w:r>
    </w:p>
    <w:p>
      <w:pPr>
        <w:spacing w:after="120"/>
        <w:ind w:firstLine="567"/>
        <w:jc w:val="left"/>
      </w:pPr>
      <w:r>
        <w:rPr>
          <w:rFonts w:ascii="Arial" w:cs="Arial" w:eastAsia="Arial" w:hAnsi="Arial"/>
          <w:sz w:val="20"/>
          <w:szCs w:val="20"/>
        </w:rPr>
        <w:t xml:space="preserve">│   │                │             │             │  юридического лица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w:t>
      </w:r>
    </w:p>
    <w:p>
      <w:pPr>
        <w:spacing w:after="120"/>
        <w:ind w:firstLine="567"/>
        <w:jc w:val="left"/>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zpj1qooaedrlqunpk9v">
      <w:r>
        <w:rPr>
          <w:rFonts w:ascii="Arial" w:cs="Arial" w:eastAsia="Arial" w:hAnsi="Arial"/>
          <w:color w:val="132D3F"/>
          <w:sz w:val="16"/>
          <w:szCs w:val="16"/>
          <w:u w:val="single"/>
        </w:rPr>
        <w:t xml:space="preserve">dalil.kg/document/30910</w:t>
      </w:r>
    </w:hyperlink>
  </w:p>
  <w:p>
    <w:pPr>
      <w:spacing w:after="0" w:before="40"/>
      <w:jc w:val="center"/>
    </w:pPr>
    <w:hyperlink w:history="1" r:id="rIdfmxgufu2hwyu2fuft87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wacv9tio84sdgk3yudqj" Type="http://schemas.openxmlformats.org/officeDocument/2006/relationships/hyperlink" Target="https://dalil.kg/document/31394" TargetMode="External"/><Relationship Id="rIdhxjmcbbjuzpj0ivzu5imj" Type="http://schemas.openxmlformats.org/officeDocument/2006/relationships/hyperlink" Target="https://dalil.kg/document/31429" TargetMode="External"/><Relationship Id="rIdemzzkidkl_9lwuxm_5qkx" Type="http://schemas.openxmlformats.org/officeDocument/2006/relationships/hyperlink" Target="https://dalil.kg/document/300273" TargetMode="External"/><Relationship Id="rIddc_wocexxvoztlotyszgn" Type="http://schemas.openxmlformats.org/officeDocument/2006/relationships/hyperlink" Target="https://dalil.kg/document/300724" TargetMode="External"/><Relationship Id="rIdjuugi-pbujgrlthjrv91j" Type="http://schemas.openxmlformats.org/officeDocument/2006/relationships/hyperlink" Target="https://dalil.kg/document/301179" TargetMode="External"/><Relationship Id="rIdez_xckf70yw-fnnsf4sef" Type="http://schemas.openxmlformats.org/officeDocument/2006/relationships/hyperlink" Target="https://dalil.kg/document/301260" TargetMode="External"/><Relationship Id="rIdkvudreyp5vsq36rz_4a59" Type="http://schemas.openxmlformats.org/officeDocument/2006/relationships/hyperlink" Target="https://dalil.kg/document/302553" TargetMode="External"/><Relationship Id="rIdyczgelp4zxq2hc68nu18p" Type="http://schemas.openxmlformats.org/officeDocument/2006/relationships/hyperlink" Target="https://dalil.kg/document/560" TargetMode="External"/><Relationship Id="rIdymfrzodlaakrtys0ajcqm" Type="http://schemas.openxmlformats.org/officeDocument/2006/relationships/hyperlink" Target="https://dalil.kg/document/559" TargetMode="External"/><Relationship Id="rIdmgc85tzky6biwinki7b4_" Type="http://schemas.openxmlformats.org/officeDocument/2006/relationships/hyperlink" Target="https://dalil.kg/document/302553" TargetMode="External"/><Relationship Id="rIdgf_rn_kj5euzgaaumqoep" Type="http://schemas.openxmlformats.org/officeDocument/2006/relationships/hyperlink" Target="https://dalil.kg/document/31394" TargetMode="External"/><Relationship Id="rIdzcg_ltdw8vofh4_omizpa" Type="http://schemas.openxmlformats.org/officeDocument/2006/relationships/hyperlink" Target="https://dalil.kg/document/560" TargetMode="External"/><Relationship Id="rIdkz2tpnw-bh04hc17cg0ei" Type="http://schemas.openxmlformats.org/officeDocument/2006/relationships/hyperlink" Target="https://dalil.kg/document/31394" TargetMode="External"/><Relationship Id="rIdqqiwfjtfnyin4gl_hhuet" Type="http://schemas.openxmlformats.org/officeDocument/2006/relationships/hyperlink" Target="https://dalil.kg/document/300273" TargetMode="External"/><Relationship Id="rIdwxck9rihb3v2dhb0dmtq1" Type="http://schemas.openxmlformats.org/officeDocument/2006/relationships/hyperlink" Target="https://dalil.kg/document/300724" TargetMode="External"/><Relationship Id="rId5e9tosgkar_5qoex0cxvv" Type="http://schemas.openxmlformats.org/officeDocument/2006/relationships/hyperlink" Target="https://dalil.kg/document/301260" TargetMode="External"/><Relationship Id="rId1k2y0xqvaryzeqvsdcl0b" Type="http://schemas.openxmlformats.org/officeDocument/2006/relationships/hyperlink" Target="https://dalil.kg/document/300724" TargetMode="External"/><Relationship Id="rIdzrkm6rdnebztqvfh_c-y3" Type="http://schemas.openxmlformats.org/officeDocument/2006/relationships/hyperlink" Target="https://dalil.kg/document/300724" TargetMode="External"/><Relationship Id="rId77q2qtgdbirx4tijzgw36" Type="http://schemas.openxmlformats.org/officeDocument/2006/relationships/hyperlink" Target="https://dalil.kg/document/301260" TargetMode="External"/><Relationship Id="rIdondvdehom-ihwkap72q2p" Type="http://schemas.openxmlformats.org/officeDocument/2006/relationships/hyperlink" Target="https://dalil.kg/document/301394" TargetMode="External"/><Relationship Id="rIdlf-cj7or51qgiuhvv3iil" Type="http://schemas.openxmlformats.org/officeDocument/2006/relationships/hyperlink" Target="https://dalil.kg/document/300724" TargetMode="External"/><Relationship Id="rIdhl7dfyqcvvtutkz1kgdfv" Type="http://schemas.openxmlformats.org/officeDocument/2006/relationships/hyperlink" Target="https://dalil.kg/document/300724" TargetMode="External"/><Relationship Id="rIdqqgimg0ks6mra8u7ve8ee" Type="http://schemas.openxmlformats.org/officeDocument/2006/relationships/hyperlink" Target="https://dalil.kg/document/300724" TargetMode="External"/><Relationship Id="rIdwnfgyw9a_kgddnqsuekkc" Type="http://schemas.openxmlformats.org/officeDocument/2006/relationships/hyperlink" Target="https://dalil.kg/document/31394" TargetMode="External"/><Relationship Id="rId9sj2lzk71voylab11dfsi" Type="http://schemas.openxmlformats.org/officeDocument/2006/relationships/hyperlink" Target="https://dalil.kg/document/301179" TargetMode="External"/><Relationship Id="rIdohjzfxcxn32nehirg3s-d" Type="http://schemas.openxmlformats.org/officeDocument/2006/relationships/hyperlink" Target="https://dalil.kg/document/30910#p1" TargetMode="External"/><Relationship Id="rIdjcan_to72ocnhf6vyv33q" Type="http://schemas.openxmlformats.org/officeDocument/2006/relationships/hyperlink" Target="https://dalil.kg/document/30910#p4" TargetMode="External"/><Relationship Id="rIdjpgbpc7wmwrlqbw6vzbmq" Type="http://schemas.openxmlformats.org/officeDocument/2006/relationships/hyperlink" Target="https://dalil.kg/document/30910#p2" TargetMode="External"/><Relationship Id="rId52ucgtwbgeljrrfyt6jlg" Type="http://schemas.openxmlformats.org/officeDocument/2006/relationships/hyperlink" Target="https://dalil.kg/document/30910#p3" TargetMode="External"/><Relationship Id="rIdfgttredgifrefug3-qsz8" Type="http://schemas.openxmlformats.org/officeDocument/2006/relationships/hyperlink" Target="https://dalil.kg/document/30910#p5" TargetMode="External"/><Relationship Id="rIdeoyewkdj7qamc3hulicki" Type="http://schemas.openxmlformats.org/officeDocument/2006/relationships/hyperlink" Target="https://dalil.kg/document/30910#p6" TargetMode="External"/><Relationship Id="rIdtbw8ye_raaxhbinbfidmj" Type="http://schemas.openxmlformats.org/officeDocument/2006/relationships/hyperlink" Target="https://dalil.kg/document/30910#p7" TargetMode="External"/><Relationship Id="rIdjkzr3whranmddzsxhauax" Type="http://schemas.openxmlformats.org/officeDocument/2006/relationships/hyperlink" Target="https://dalil.kg/document/30910#p8" TargetMode="External"/><Relationship Id="rIdmh1q_3kdqt98cexkjok55" Type="http://schemas.openxmlformats.org/officeDocument/2006/relationships/hyperlink" Target="https://dalil.kg/document/30910#p1" TargetMode="External"/><Relationship Id="rIdyp0dhne-viklitg7ymje2" Type="http://schemas.openxmlformats.org/officeDocument/2006/relationships/hyperlink" Target="https://dalil.kg/document/300273" TargetMode="External"/><Relationship Id="rIdxq922m3rjdl5mz_e1aed9"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zpj1qooaedrlqunpk9v" Type="http://schemas.openxmlformats.org/officeDocument/2006/relationships/hyperlink" Target="https://dalil.kg/document/30910" TargetMode="External"/><Relationship Id="rIdfmxgufu2hwyu2fuft87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2026-09-24T21:52:09.746Z</dcterms:created>
  <dcterms:modified xsi:type="dcterms:W3CDTF">2026-09-24T21:52:09.746Z</dcterms:modified>
</cp:coreProperties>
</file>

<file path=docProps/custom.xml><?xml version="1.0" encoding="utf-8"?>
<Properties xmlns="http://schemas.openxmlformats.org/officeDocument/2006/custom-properties" xmlns:vt="http://schemas.openxmlformats.org/officeDocument/2006/docPropsVTypes"/>
</file>