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              В соответствии с приказом Минобразования КР                    </w:t>
      </w:r>
      <w:hyperlink w:history="1" r:id="rIdptj6thelcwumvltrdsx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февраля 2005 года № 77/1</w:t>
        </w:r>
      </w:hyperlink>
      <w:r>
        <w:rPr>
          <w:rFonts w:ascii="Arial" w:cs="Arial" w:eastAsia="Arial" w:hAnsi="Arial"/>
          <w:sz w:val="24"/>
          <w:szCs w:val="24"/>
        </w:rPr>
        <w:t xml:space="preserve"> Зарегистрировано в Министерстве юстиции Кыргызской Республики21 апреля 2004 года. Регистрационный номер 45-04 г.Бишкекот 1 апреля 2004 года N 202/1          ПРИКАЗ МИНИСТЕРСТВА ОБРАЗОВАНИЯ КЫРГЫЗСКОЙ РЕСПУБЛИКИ                Об утверждении Правил проведения итоговой         аттестации выпускников и порядок перевода учащихся в        последующий класс в государственных и негосударственных        общеобразовательных организациях Кыргызской Республики                       в 2003-2004 учебном году      В целях организованного  завершения  учебных  занятий,  проведенияитоговой  аттестации выпускников и переводных экзаменов в государствен-ных и  негосударственных  общеобразовательных  организациях  КыргызскойРеспублики приказываю:     1. Утвердить "</w:t>
      </w:r>
      <w:hyperlink w:history="1" r:id="rIdgsywzfdhr3os60duxqx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итоговой аттестации выпускников ипорядок перевода учащихся в последующий класс в государственных и него-сударственных общеобразовательных  организациях Кыргызской Республики в2003-2004 учебном году" (прилагается).     2. Кыргызской академии образования разработать и издать  экзамена-ционные  материалы для проведения итоговой аттестации выпускников в со-ответствии с настоящими приказом и Правилами до 25 марта 2004 года.     3. Руководителям  региональных органов государственного управленияпосле прохождения  государственной регистрации в органах юстиции и офи-циального опубликования данного приказа:     - организовать  проведение итоговой аттестации выпускников в стро-гом соответствии с настоящими приказом и Правилами;     - организовать перевод экзаменационных материалов (темы сочинений,изложений с элементами сочинений, диктантов, экзаменационные задания поматематике, билеты  для  устных  экзаменов  по  всем предметам учебногоплана) для общеобразовательных организаций (классов) с узбекским и тад-жикским и др. языками обучения;     - своевременно  обеспечить общеобразовательные организации экзаме-национными материалами для  предварительного  ознакомления  учащихся  иучителей с их содержанием и организации повторения программного матери-ала;     - до  20  июня  2004  года  представить в Министерство образованиясписки выпускников общеобразовательных организаций,  получивших  свиде-тельства об основном общем образовании с отличием и аттестаты о среднемобщем образовании с отличием (МО, каб. N 327, факс: 621-520).     4. При  освобождении выпускников от итоговой аттестации по болезнируководствоваться Перечнем заболеваний,  утвержденным совместным прика-зом  Министерства образования и культуры и Министерства здравоохраненияКыргызской Республики N 188/1-136 от 30.04.2001 г.     5. Считать  утратившими  силу  </w:t>
      </w:r>
      <w:hyperlink w:history="1" r:id="rIdjppbnuzt1y22stzdpuu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  Министерства  образования икультуры Кыргызской  Республики N 295/1 от 15.04.2003 г. "О переутверж-дении Положения  о порядке перевода учащихся в последующий класс и ито-говой аттестации выпускников государственных и негосударственных учреж-дений общего  среднего  образования  Кыргызской  Республики в 2002-2003учебном году" и приказ Министерства образования Кыргызской Республики N136/1 от 5.03.2004 г. "Об утверждении Правил проведения итоговой аттес-тации выпускников и порядок перевода учащихся в последующий класс в го-сударственных и негосударственных общеобразовательных организациях Кыр-гызской Республики в 2003-2004 учебном году".     6. Контроль за исполнением настоящего приказа возложить на Первогозаместителя министра Иванникова А.Г.      Министр                                         М.Кидибаев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bbd9h7hwvyqnjabr0d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dalil.kg/document/30987</w:t>
      </w:r>
    </w:hyperlink>
  </w:p>
  <w:p>
    <w:pPr>
      <w:spacing w:after="0" w:before="40"/>
      <w:jc w:val="center"/>
    </w:pPr>
    <w:hyperlink w:history="1" r:id="rIdyvtnrv2kjg1pwtvxpsz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tj6thelcwumvltrdsxt2" Type="http://schemas.openxmlformats.org/officeDocument/2006/relationships/hyperlink" Target="https://dalil.kg/document/31110" TargetMode="External"/><Relationship Id="rIdgsywzfdhr3os60duxqxx7" Type="http://schemas.openxmlformats.org/officeDocument/2006/relationships/hyperlink" Target="https://dalil.kg/document/30988" TargetMode="External"/><Relationship Id="rIdjppbnuzt1y22stzdpuudz" Type="http://schemas.openxmlformats.org/officeDocument/2006/relationships/hyperlink" Target="https://dalil.kg/document/3077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bbd9h7hwvyqnjabr0det" Type="http://schemas.openxmlformats.org/officeDocument/2006/relationships/hyperlink" Target="https://dalil.kg/document/30987" TargetMode="External"/><Relationship Id="rIdyvtnrv2kjg1pwtvxpszn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2026-09-30T16:20:01.624Z</dcterms:created>
  <dcterms:modified xsi:type="dcterms:W3CDTF">2026-09-30T16:20:01.624Z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