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wnqmjt32nyj873pifml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Республики26 декабря 2003 года. Регистрационный номер 123-03                                                    Утверждены                                              приказом Министерства                                            транспорта и коммуникаций                                              Кыргызской Республики                                          от 22 декабря 2003 года № 331                 Министерство транспорта и коммуникаций                         Кыргызской Республики                АВИАЦИОННЫЕ ПРАВИЛА КЫРГЫЗСКОЙ РЕСПУБЛИКИ                  АПКР39 "Директивы летной годности"                         Раздел 1 (Требования)      АПКР39.01. Общее      Эти правила устанавливают требования для выпуска,  распространенияи  контроля исполнения Директив летной годности и обеспечивают правовыерамки деятельности Департамента гражданской авиации Кыргызской  Респуб-лики в области Директив летной годности.      АПКР39.05. Определения      Эксплуатант - Лицо, организация или предприятие, занимающееся экс-плуатацией воздушных судов или предлагающее свои услуги в этой области.     "AD статус"  -  Документ,  ведущийся эксплуатантом,  для отражениядействующего на данный момент состояния выполнения директив летной год-ности.     Статус - Состояние выполнения директив летной годности.      АПКР39.10. Сокращения      ДГА - Департамент гражданской авиации Кыргызской Республики.      АПКР39.15. Применимость      (а) Настоящие Правила предписывают процедурные требования для  вы-пуска, распределения и контроля исполнения Директив летной годности.     (б) Директивы летной годности являются частью системы  нормативныхправовых актов Кыргызской Республики.     (в) Данные правила применяются к следующим изделиям:     1. воздушное судно, зарегистрированное в Кыргызской Республике;     2. воздушное судно,  зарегистрированное в другом государстве, но вотношении, которого полномочия по поддержанию летной годности, переданыДГА Кыргызской Республики в соответствии с соглашением по статье 83/бисКонвенции  о международной гражданской авиации,  подписанной в Чикаго 7декабря 1944 г. и ратифицированной </w:t>
      </w:r>
      <w:hyperlink w:history="1" r:id="rId78hqx2d-73bpwvl_sttk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ЖК Кыргызской Респуб-лики от 18 декабря 1992 г. № 1117-XII;     3. двигатели воздушного судна, воздушные винты и комплектующие из-делия,  предназначенные для установки на воздушное судно, зарегистриро-ванное в Кыргызской Республике.      АПКР39.20. Директива летной годности и их содержание      (а) Директива летной годности - документ,  выпущенный ДГА, которыйобязывает выполнить на изделии действия, чтобы устранить опасное состо-яние или нежелательное условие.     (б) Директива летной годности содержит, как минимум, следующую ин-формацию:     1. определение опасного состояния;     2. обозначение неисправного самолета;     3. требуемые мероприятия (действия);     4. наработка или срок выполнения требуемых действий; и     5. дата введения в действие;     6. офис,  ответственный за ее выпуск и утверждение метода выполне-ния;     7. Указание на срочность выполнения директивы.      АПКР39.25. Выпуск Директив летной годности      (а) ДГА выпускает Директиву летной годности, обращенную к изделию,когда обнаружено что:     1. на воздушном судне,  двигателе, воздушном винте, компоненте илиприборе,  установленном  на воздушном судне,  обнаружено наличие отказаили неисправности, в результате чего возникает опасное состояние; и     2. опасное состояние, вероятно, имеется или проявится в других из-делиях такого же типа авиационной техники.     (б) ДГА  выпускает  Директиву летной годности в соответствии с Ди-рективой изданной другим государством, извещением изготовителя или раз-работчика  об обнаружении опасного состояния на изделии,  которое можетоказать влияние на безопасный уровень при выполнении полета.      АПКР39.30. Юридические последствия использования воздушного судна                или изделия, которые не отвечают требованиям Директивы                летной годности      (а) Никакой Эксплуатант не может использовать изделие,  к которомуобращена Директива летной годности, кроме как в соответствии с требова-ниями этой Директивы, если иначе не разрешено ДГА.     (б) Если  требования  Директивы летной годности не были выполнены,то эксплуатация изделия рассматривается как выпуск в полет неисправноговоздушного  судна,  что  влечет за собой ответственность виновных лиц всоответствии с законодательством Кыргызской Республики.      АПКР39.35. Каких действий требуют Директивы летной годности      Директивы летной годности определяют:     (а) осмотры, которые должны быть выполнены;     (b) условия и ограничения, которые должны быть исполнены;     (c) любые действия, которые должны устранить опасное состояние.      АПКР39.40. Применение Директивы летной годности, если изделие было                изменено      Директива летной годности адресуется к каждому изделию, указанномув ней,  даже если конкретное изделие было изменено,  модифицировано илиотремонтировано в части, к которой обращена Директива летной годности.      АПКР39.45. Действия, когда изменение в изделии затрагивает                способность достичь действий, требуемых в Директиве                летной годности      (а) Если изменение в изделии не позволяет выполнить действия, тре-буемые  в  соответствии  с Директивой летной годности,  указанным в нейспособом, необходимо запросить от ДГА утверждения альтернативного мето-да выполнения.     (б) Если нет возможности показать, что изменение устранило опасноесостояние, то запрос должен содержать описание конкретных действий, ко-торые необходимо адресовать опасному состоянию.      АПКР39.50. Устранение опасного состояния методом, иным как                изложено в Директиве летной годности      (а) Любой  Эксплуатант  может  предложить ДГА альтернативный методвыполнения Директивы, запрошенный для одобрения у разработчика.     (б) Разработчик может одобрить альтернативный метод выполнения Ди-рективы, а ДГА может утвердить его. Применять альтернативный метод мож-но,  только если он одобрен разработчиком и утвержден ДГА.  Если это несоблюдено директива должна быть выполнена в строгом соответствии с  ме-тодом, указанным в ней.      АПКР39.55. Возможность перелета самолета на базу ремонта, чтобы                сделать работу, требуемую в соответствии с Директивой                летной годности      Если требуется  выполнить перелет на базу ремонта,  где могут бытьвыполнены ремонт, модификации или другие работы, которые требует дирек-тива летной годности, ДГА может дать специальное разрешение на перелет,если Директива не заявляет иначе.      АПКР39.60. Действия, когда Директива летной годности находится                в противоречии с документом, регламентирующим                техническое обслуживание      В случае если Директива летной годности включает ссылку  на  доку-мент производителя (разработчика),  регламентирующий техническое обслу-живание, то документ, регламентирующий техническое обслуживание, стано-вится частью Директивы летной годности.  В документы,  регламентирующиетехническое обслуживание могут быть внесены изменения в соответствии  сДирективой летной годности.  Если установлен конфликт между документом,регламентирующим техническое обслуживание и Директивой летной годности,необходимо следовать требованиям Директивы летной годности.      АПКР39.65. Учет выполнения Директив летной годности      (а) Эксплуатант обязан ввести учет выполнения Директив летной год-ности по каждому изделию.     (b) Эксплуатант обязан ввести, "AD статус".     c) Эксплуатант обязан предоставить отчет в ДГА по  выполнению  ди-рективы летной годности.      АПКР39.70. Передача записей учета выполнения Директив летной                годности      В случае если изделие переходит во владение  другого  ЭксплуатантаСтатус  Директив летной годности в обязательном порядке должен быть пе-редан новому владельцу вместе с изделием.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o3wwvx_frfvoqbl3z8lr">
      <w:r>
        <w:rPr>
          <w:rFonts w:ascii="Arial" w:cs="Arial" w:eastAsia="Arial" w:hAnsi="Arial"/>
          <w:color w:val="132D3F"/>
          <w:sz w:val="16"/>
          <w:szCs w:val="16"/>
          <w:u w:val="single"/>
        </w:rPr>
        <w:t xml:space="preserve">dalil.kg/document/31285</w:t>
      </w:r>
    </w:hyperlink>
  </w:p>
  <w:p>
    <w:pPr>
      <w:spacing w:after="0" w:before="40"/>
      <w:jc w:val="center"/>
    </w:pPr>
    <w:hyperlink w:history="1" r:id="rIdxjhgpw_dq5jq6gvw_8qg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wnqmjt32nyj873pifmlh" Type="http://schemas.openxmlformats.org/officeDocument/2006/relationships/hyperlink" Target="https://dalil.kg/document/202591" TargetMode="External"/><Relationship Id="rId78hqx2d-73bpwvl_sttkx" Type="http://schemas.openxmlformats.org/officeDocument/2006/relationships/hyperlink" Target="https://dalil.kg/document/5102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o3wwvx_frfvoqbl3z8lr" Type="http://schemas.openxmlformats.org/officeDocument/2006/relationships/hyperlink" Target="https://dalil.kg/document/31285" TargetMode="External"/><Relationship Id="rIdxjhgpw_dq5jq6gvw_8qg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2026-10-01T22:29:49.131Z</dcterms:created>
  <dcterms:modified xsi:type="dcterms:W3CDTF">2026-10-01T22:29:49.131Z</dcterms:modified>
</cp:coreProperties>
</file>

<file path=docProps/custom.xml><?xml version="1.0" encoding="utf-8"?>
<Properties xmlns="http://schemas.openxmlformats.org/officeDocument/2006/custom-properties" xmlns:vt="http://schemas.openxmlformats.org/officeDocument/2006/docPropsVTypes"/>
</file>