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23 августа 2004 года. Регистрационный номер 94-04</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ggihq69s0h-7lvgm4bk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N 18/3</w:t>
      </w:r>
    </w:p>
    <w:p>
      <w:pPr>
        <w:spacing w:after="400" w:before="400"/>
        <w:jc w:val="center"/>
      </w:pPr>
      <w:r>
        <w:rPr>
          <w:rFonts w:ascii="Arial" w:cs="Arial" w:eastAsia="Arial" w:hAnsi="Arial"/>
          <w:b/>
          <w:bCs/>
          <w:sz w:val="32"/>
          <w:szCs w:val="32"/>
        </w:rPr>
        <w:t xml:space="preserve">ПОЛОЖЕНИЕ </w:t>
      </w:r>
    </w:p>
    <w:p>
      <w:pPr>
        <w:spacing w:after="60" w:before="200"/>
        <w:ind w:firstLine="567"/>
        <w:jc w:val="center"/>
      </w:pPr>
      <w:r>
        <w:rPr>
          <w:rFonts w:ascii="Arial" w:cs="Arial" w:eastAsia="Arial" w:hAnsi="Arial"/>
          <w:b/>
          <w:bCs/>
          <w:sz w:val="32"/>
          <w:szCs w:val="32"/>
        </w:rPr>
        <w:t xml:space="preserve">ИНСТРУКЦИЯ 
 по определению стандартов достаточности (адекватности) капитала коммерческих банков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1uuth7f0ntts2qizvtdwz">
        <w:r>
          <w:rPr>
            <w:rFonts w:ascii="Arial" w:cs="Arial" w:eastAsia="Arial" w:hAnsi="Arial"/>
            <w:i/>
            <w:iCs/>
            <w:color w:val="1D4ED8"/>
            <w:sz w:val="24"/>
            <w:szCs w:val="24"/>
            <w:u w:val="single"/>
          </w:rPr>
          <w:t xml:space="preserve">23 октября 2004 года № 26/3</w:t>
        </w:r>
      </w:hyperlink>
      <w:r>
        <w:rPr>
          <w:rFonts w:ascii="Arial" w:cs="Arial" w:eastAsia="Arial" w:hAnsi="Arial"/>
          <w:i/>
          <w:iCs/>
          <w:sz w:val="24"/>
          <w:szCs w:val="24"/>
        </w:rPr>
        <w:t xml:space="preserve">, </w:t>
      </w:r>
      <w:hyperlink w:history="1" r:id="rIdeiwjdunhqmsl3ozhwlwc6">
        <w:r>
          <w:rPr>
            <w:rFonts w:ascii="Arial" w:cs="Arial" w:eastAsia="Arial" w:hAnsi="Arial"/>
            <w:i/>
            <w:iCs/>
            <w:color w:val="1D4ED8"/>
            <w:sz w:val="24"/>
            <w:szCs w:val="24"/>
            <w:u w:val="single"/>
          </w:rPr>
          <w:t xml:space="preserve">10 июня 2009 года № 26/2</w:t>
        </w:r>
      </w:hyperlink>
      <w:r>
        <w:rPr>
          <w:rFonts w:ascii="Arial" w:cs="Arial" w:eastAsia="Arial" w:hAnsi="Arial"/>
          <w:i/>
          <w:iCs/>
          <w:sz w:val="24"/>
          <w:szCs w:val="24"/>
        </w:rPr>
        <w:t xml:space="preserve">, </w:t>
      </w:r>
      <w:hyperlink w:history="1" r:id="rIdcm7wkjcv7snvfhoihnnoj">
        <w:r>
          <w:rPr>
            <w:rFonts w:ascii="Arial" w:cs="Arial" w:eastAsia="Arial" w:hAnsi="Arial"/>
            <w:i/>
            <w:iCs/>
            <w:color w:val="1D4ED8"/>
            <w:sz w:val="24"/>
            <w:szCs w:val="24"/>
            <w:u w:val="single"/>
          </w:rPr>
          <w:t xml:space="preserve">26 августа 2009 года № 35/4</w:t>
        </w:r>
      </w:hyperlink>
      <w:r>
        <w:rPr>
          <w:rFonts w:ascii="Arial" w:cs="Arial" w:eastAsia="Arial" w:hAnsi="Arial"/>
          <w:i/>
          <w:iCs/>
          <w:sz w:val="24"/>
          <w:szCs w:val="24"/>
        </w:rPr>
        <w:t xml:space="preserve">, </w:t>
      </w:r>
      <w:hyperlink w:history="1" r:id="rIdcvb4u2yanh6c-jfw7b7qz">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pfaomp3qmixkpdaet1oub">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dcox3jqskqtxrq4iabb6i">
        <w:r>
          <w:rPr>
            <w:rFonts w:ascii="Arial" w:cs="Arial" w:eastAsia="Arial" w:hAnsi="Arial"/>
            <w:i/>
            <w:iCs/>
            <w:color w:val="1D4ED8"/>
            <w:sz w:val="24"/>
            <w:szCs w:val="24"/>
            <w:u w:val="single"/>
          </w:rPr>
          <w:t xml:space="preserve">12 декабря 2012 года № 48/10,</w:t>
        </w:r>
      </w:hyperlink>
      <w:hyperlink w:history="1" r:id="rIdnyip7jkbn5qt019pf7bbn">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el6zyrw2dtnwvfla0tspd">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 </w:t>
      </w:r>
      <w:hyperlink w:history="1" r:id="rIdvf4n-rj1iuyviupjku72q">
        <w:r>
          <w:rPr>
            <w:rFonts w:ascii="Arial" w:cs="Arial" w:eastAsia="Arial" w:hAnsi="Arial"/>
            <w:i/>
            <w:iCs/>
            <w:color w:val="1D4ED8"/>
            <w:sz w:val="24"/>
            <w:szCs w:val="24"/>
            <w:u w:val="single"/>
          </w:rPr>
          <w:t xml:space="preserve">27 апреля 2016 года № 19/6</w:t>
        </w:r>
      </w:hyperlink>
      <w:r>
        <w:rPr>
          <w:rFonts w:ascii="Arial" w:cs="Arial" w:eastAsia="Arial" w:hAnsi="Arial"/>
          <w:i/>
          <w:iCs/>
          <w:sz w:val="24"/>
          <w:szCs w:val="24"/>
        </w:rPr>
        <w:t xml:space="preserve">, </w:t>
      </w:r>
      <w:hyperlink w:history="1" r:id="rIdxmqvppcu5uyal3dslvrke">
        <w:r>
          <w:rPr>
            <w:rFonts w:ascii="Arial" w:cs="Arial" w:eastAsia="Arial" w:hAnsi="Arial"/>
            <w:i/>
            <w:iCs/>
            <w:color w:val="1D4ED8"/>
            <w:sz w:val="24"/>
            <w:szCs w:val="24"/>
            <w:u w:val="single"/>
          </w:rPr>
          <w:t xml:space="preserve">15 июня 2016 года № 25/1</w:t>
        </w:r>
      </w:hyperlink>
      <w:r>
        <w:rPr>
          <w:rFonts w:ascii="Arial" w:cs="Arial" w:eastAsia="Arial" w:hAnsi="Arial"/>
          <w:i/>
          <w:iCs/>
          <w:sz w:val="24"/>
          <w:szCs w:val="24"/>
        </w:rPr>
        <w:t xml:space="preserve">, </w:t>
      </w:r>
      <w:hyperlink w:history="1" r:id="rId3reylfqkfjp9ix_yvr2pg">
        <w:r>
          <w:rPr>
            <w:rFonts w:ascii="Arial" w:cs="Arial" w:eastAsia="Arial" w:hAnsi="Arial"/>
            <w:i/>
            <w:iCs/>
            <w:color w:val="1D4ED8"/>
            <w:sz w:val="24"/>
            <w:szCs w:val="24"/>
            <w:u w:val="single"/>
          </w:rPr>
          <w:t xml:space="preserve">14 декабря 2016 года № 48/11,</w:t>
        </w:r>
      </w:hyperlink>
      <w:r>
        <w:rPr>
          <w:rFonts w:ascii="Arial" w:cs="Arial" w:eastAsia="Arial" w:hAnsi="Arial"/>
          <w:i/>
          <w:iCs/>
          <w:sz w:val="24"/>
          <w:szCs w:val="24"/>
        </w:rPr>
        <w:t xml:space="preserve">26 апреля 2017 года № 17/13</w:t>
      </w:r>
      <w:r>
        <w:rPr>
          <w:rFonts w:ascii="Arial" w:cs="Arial" w:eastAsia="Arial" w:hAnsi="Arial"/>
          <w:i/>
          <w:iCs/>
          <w:sz w:val="24"/>
          <w:szCs w:val="24"/>
        </w:rPr>
        <w:t xml:space="preserve">, </w:t>
      </w:r>
      <w:hyperlink w:history="1" r:id="rIdhqgvs0ayza7kk8xfik5ha">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hyperlink w:history="1" r:id="rIdhirjqspagq7lwby_vzf44">
        <w:r>
          <w:rPr>
            <w:rFonts w:ascii="Arial" w:cs="Arial" w:eastAsia="Arial" w:hAnsi="Arial"/>
            <w:i/>
            <w:iCs/>
            <w:color w:val="1D4ED8"/>
            <w:sz w:val="24"/>
            <w:szCs w:val="24"/>
            <w:u w:val="single"/>
          </w:rPr>
          <w:t xml:space="preserve">15 августа 2018 года № 2018-П-12/33-6</w:t>
        </w:r>
      </w:hyperlink>
      <w:r>
        <w:rPr>
          <w:rFonts w:ascii="Arial" w:cs="Arial" w:eastAsia="Arial" w:hAnsi="Arial"/>
          <w:i/>
          <w:iCs/>
          <w:sz w:val="24"/>
          <w:szCs w:val="24"/>
        </w:rPr>
        <w:t xml:space="preserve">, </w:t>
      </w:r>
      <w:hyperlink w:history="1" r:id="rIdoyapyypqfzzzwq5dedxos">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 </w:t>
      </w:r>
      <w:hyperlink w:history="1" r:id="rIdz1mrm8k8mflh0dkigyp6t">
        <w:r>
          <w:rPr>
            <w:rFonts w:ascii="Arial" w:cs="Arial" w:eastAsia="Arial" w:hAnsi="Arial"/>
            <w:i/>
            <w:iCs/>
            <w:color w:val="1D4ED8"/>
            <w:sz w:val="24"/>
            <w:szCs w:val="24"/>
            <w:u w:val="single"/>
          </w:rPr>
          <w:t xml:space="preserve">14 марта 2019 года № 2019-П-12/11-1</w:t>
        </w:r>
      </w:hyperlink>
      <w:hyperlink w:history="1" r:id="rId6a0lio9aulan6euirhz_y">
        <w:r>
          <w:rPr>
            <w:rFonts w:ascii="Arial" w:cs="Arial" w:eastAsia="Arial" w:hAnsi="Arial"/>
            <w:i/>
            <w:iCs/>
            <w:color w:val="1D4ED8"/>
            <w:sz w:val="24"/>
            <w:szCs w:val="24"/>
            <w:u w:val="single"/>
          </w:rPr>
          <w:t xml:space="preserve">, 10 апреля 2019 года № 2019-П-12/19-3</w:t>
        </w:r>
      </w:hyperlink>
      <w:r>
        <w:rPr>
          <w:rFonts w:ascii="Arial" w:cs="Arial" w:eastAsia="Arial" w:hAnsi="Arial"/>
          <w:i/>
          <w:iCs/>
          <w:sz w:val="24"/>
          <w:szCs w:val="24"/>
        </w:rPr>
        <w:t xml:space="preserve">,</w:t>
      </w:r>
      <w:hyperlink w:history="1" r:id="rIdf7bvtjeweoqbex0manjmf">
        <w:r>
          <w:rPr>
            <w:rFonts w:ascii="Arial" w:cs="Arial" w:eastAsia="Arial" w:hAnsi="Arial"/>
            <w:color w:val="1D4ED8"/>
            <w:sz w:val="24"/>
            <w:szCs w:val="24"/>
            <w:u w:val="single"/>
          </w:rPr>
          <w:t xml:space="preserve">15 сентября 2021</w:t>
        </w:r>
        <w:r>
          <w:rPr>
            <w:rFonts w:ascii="Arial" w:cs="Arial" w:eastAsia="Arial" w:hAnsi="Arial"/>
            <w:color w:val="1D4ED8"/>
            <w:sz w:val="24"/>
            <w:szCs w:val="24"/>
            <w:u w:val="single"/>
          </w:rPr>
          <w:t xml:space="preserve"> года № </w:t>
        </w:r>
        <w:r>
          <w:rPr>
            <w:rFonts w:ascii="Arial" w:cs="Arial" w:eastAsia="Arial" w:hAnsi="Arial"/>
            <w:color w:val="1D4ED8"/>
            <w:sz w:val="24"/>
            <w:szCs w:val="24"/>
            <w:u w:val="single"/>
          </w:rPr>
          <w:t xml:space="preserve">2021-П-12/51-1-(НПА)</w:t>
        </w:r>
      </w:hyperlink>
      <w:r>
        <w:rPr>
          <w:rFonts w:ascii="Arial" w:cs="Arial" w:eastAsia="Arial" w:hAnsi="Arial"/>
          <w:sz w:val="24"/>
          <w:szCs w:val="24"/>
        </w:rPr>
        <w:t xml:space="preserve">, </w:t>
      </w:r>
      <w:hyperlink w:history="1" r:id="rIdr4ov3kerawu9zeulvpfk9">
        <w:r>
          <w:rPr>
            <w:rFonts w:ascii="Arial" w:cs="Arial" w:eastAsia="Arial" w:hAnsi="Arial"/>
            <w:color w:val="1D4ED8"/>
            <w:sz w:val="24"/>
            <w:szCs w:val="24"/>
            <w:u w:val="single"/>
          </w:rPr>
          <w:t xml:space="preserve">15-декабря 2021 года №2021-П-12/70-3-(НПА)</w:t>
        </w:r>
      </w:hyperlink>
      <w:r>
        <w:rPr>
          <w:rFonts w:ascii="Arial" w:cs="Arial" w:eastAsia="Arial" w:hAnsi="Arial"/>
          <w:sz w:val="24"/>
          <w:szCs w:val="24"/>
        </w:rPr>
        <w:t xml:space="preserve">, </w:t>
      </w:r>
      <w:hyperlink w:history="1" r:id="rIdk6mvevsqdkl0akyhxxbr4">
        <w:r>
          <w:rPr>
            <w:rFonts w:ascii="Arial" w:cs="Arial" w:eastAsia="Arial" w:hAnsi="Arial"/>
            <w:i/>
            <w:iCs/>
            <w:color w:val="1D4ED8"/>
            <w:sz w:val="24"/>
            <w:szCs w:val="24"/>
            <w:u w:val="single"/>
          </w:rPr>
          <w:t xml:space="preserve">23 марта 2022 года № 2022-П-12/17-4</w:t>
        </w:r>
      </w:hyperlink>
      <w:r>
        <w:rPr>
          <w:rFonts w:ascii="Arial" w:cs="Arial" w:eastAsia="Arial" w:hAnsi="Arial"/>
          <w:i/>
          <w:iCs/>
          <w:sz w:val="24"/>
          <w:szCs w:val="24"/>
        </w:rPr>
        <w:t xml:space="preserve">, </w:t>
      </w:r>
      <w:hyperlink w:history="1" r:id="rIdri5qlvegki0qlshdp36oh">
        <w:r>
          <w:rPr>
            <w:rFonts w:ascii="Arial" w:cs="Arial" w:eastAsia="Arial" w:hAnsi="Arial"/>
            <w:i/>
            <w:iCs/>
            <w:color w:val="1D4ED8"/>
            <w:sz w:val="24"/>
            <w:szCs w:val="24"/>
            <w:u w:val="single"/>
          </w:rPr>
          <w:t xml:space="preserve">23 марта 2022 года № 2022-П-12/17-6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Настоящая Инструкция устанавливает стандарты достаточности (адекватности) капитала коммерческих банков и определяет его структуру.</w:t>
      </w:r>
    </w:p>
    <w:p>
      <w:pPr>
        <w:spacing w:after="120"/>
        <w:jc w:val="both"/>
      </w:pPr>
      <w:r>
        <w:rPr>
          <w:rFonts w:ascii="Arial" w:cs="Arial" w:eastAsia="Arial" w:hAnsi="Arial"/>
          <w:sz w:val="24"/>
          <w:szCs w:val="24"/>
        </w:rPr>
        <w:t xml:space="preserve">Настоящая Инструкция распространяется на коммерческие банки, в том числе, имеющие "исламское окно", Государственный банк развития, а также на ОАО "Финансовая компания кредитных союзов" в части определения структуры капитала, порядка расчета минимального размера собственного (регулятивного) капитала и коэффициентов достаточности (адекватности) капитала, а также оценки балансовых активов и забалансовых обязательств по степени риска (далее - банки).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0d7dzrxxwqwdwup-vsccj">
        <w:r>
          <w:rPr>
            <w:rFonts w:ascii="Arial" w:cs="Arial" w:eastAsia="Arial" w:hAnsi="Arial"/>
            <w:color w:val="1D4ED8"/>
            <w:sz w:val="24"/>
            <w:szCs w:val="24"/>
            <w:u w:val="single"/>
          </w:rPr>
          <w:t xml:space="preserve">15 июня 2017 года № 2017-П-12/25-5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Капитал банка является обеспечением прибыльного и устойчивого роста, гарантом доверия клиентов к банку и служит для покрытия потенциальных потерь, свойственных банковскому делу.</w:t>
      </w:r>
    </w:p>
    <w:p>
      <w:pPr>
        <w:spacing w:after="120"/>
        <w:jc w:val="both"/>
      </w:pPr>
      <w:r>
        <w:rPr>
          <w:rFonts w:ascii="Arial" w:cs="Arial" w:eastAsia="Arial" w:hAnsi="Arial"/>
          <w:sz w:val="24"/>
          <w:szCs w:val="24"/>
        </w:rPr>
        <w:t xml:space="preserve">1.3. Для органов банковского надзора капитал является средством, предохраняющим от последствий чрезмерных рисковых ситуаций и финансовой несостоятельности (неплатежеспособности) банка. По этой причине органы банковского надзора заинтересованы в том, чтобы банки располагали адекватным капиталом, способным покрывать возможные убытки и потери без угрозы наступления состояния неплатежеспособности.</w:t>
      </w:r>
    </w:p>
    <w:p>
      <w:pPr>
        <w:spacing w:after="120"/>
        <w:jc w:val="both"/>
      </w:pPr>
      <w:r>
        <w:rPr>
          <w:rFonts w:ascii="Arial" w:cs="Arial" w:eastAsia="Arial" w:hAnsi="Arial"/>
          <w:sz w:val="24"/>
          <w:szCs w:val="24"/>
        </w:rPr>
        <w:t xml:space="preserve">1.4. Термин "достаточность (адекватность) капитала" отражает общую оценку надежности банка, степень его подверженности риску. Трактовка капитала как средства защиты от потерь и состояния неплатежеспособности, обуславливает прямую зависимость между величиной капитала и подверженностью банка риску, т.е. величина капитала должна быть адекватной увеличивающемуся объему банковских операций, сопряженных с высокой степенью риска.</w:t>
      </w:r>
    </w:p>
    <w:p>
      <w:pPr>
        <w:spacing w:after="120"/>
        <w:jc w:val="both"/>
      </w:pPr>
      <w:r>
        <w:rPr>
          <w:rFonts w:ascii="Arial" w:cs="Arial" w:eastAsia="Arial" w:hAnsi="Arial"/>
          <w:sz w:val="24"/>
          <w:szCs w:val="24"/>
        </w:rPr>
        <w:t xml:space="preserve">2. Стандарты достаточности (адекватности) капитала</w:t>
      </w:r>
    </w:p>
    <w:p>
      <w:pPr>
        <w:spacing w:after="120"/>
        <w:jc w:val="both"/>
      </w:pPr>
      <w:r>
        <w:rPr>
          <w:rFonts w:ascii="Arial" w:cs="Arial" w:eastAsia="Arial" w:hAnsi="Arial"/>
          <w:sz w:val="24"/>
          <w:szCs w:val="24"/>
        </w:rPr>
        <w:t xml:space="preserve">2.1. Минимальный размер капитала:</w:t>
      </w:r>
    </w:p>
    <w:p>
      <w:pPr>
        <w:spacing w:after="120"/>
        <w:jc w:val="both"/>
      </w:pPr>
      <w:r>
        <w:rPr>
          <w:rFonts w:ascii="Arial" w:cs="Arial" w:eastAsia="Arial" w:hAnsi="Arial"/>
          <w:sz w:val="24"/>
          <w:szCs w:val="24"/>
        </w:rPr>
        <w:t xml:space="preserve">2.1.1. Минимальный размер уставного капитала банков (включая филиалы иностранных банков).</w:t>
      </w:r>
    </w:p>
    <w:p>
      <w:pPr>
        <w:spacing w:after="120"/>
        <w:jc w:val="both"/>
      </w:pPr>
      <w:r>
        <w:rPr>
          <w:rFonts w:ascii="Arial" w:cs="Arial" w:eastAsia="Arial" w:hAnsi="Arial"/>
          <w:sz w:val="24"/>
          <w:szCs w:val="24"/>
        </w:rPr>
        <w:t xml:space="preserve">(В редакции </w:t>
      </w:r>
      <w:hyperlink w:history="1" r:id="rId0sxjzlhzv6chltpsr7sf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10 июня 2009 года N 26/2)</w:t>
      </w:r>
    </w:p>
    <w:p>
      <w:pPr>
        <w:spacing w:after="120"/>
        <w:jc w:val="both"/>
      </w:pPr>
      <w:r>
        <w:rPr>
          <w:rFonts w:ascii="Arial" w:cs="Arial" w:eastAsia="Arial" w:hAnsi="Arial"/>
          <w:sz w:val="24"/>
          <w:szCs w:val="24"/>
        </w:rPr>
        <w:t xml:space="preserve">2.1.2. Собственный (регулятивный) капитал является капиталом Первого уровня.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kweaxq_pgxc6jxlprmsb">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Коэффициенты достаточности (адекватности) капитала, основанные на взвешивании балансовых активов и забалансовых обязательств по степени риска:</w:t>
      </w:r>
    </w:p>
    <w:p>
      <w:pPr>
        <w:spacing w:after="120"/>
        <w:jc w:val="both"/>
      </w:pPr>
      <w:r>
        <w:rPr>
          <w:rFonts w:ascii="Arial" w:cs="Arial" w:eastAsia="Arial" w:hAnsi="Arial"/>
          <w:sz w:val="24"/>
          <w:szCs w:val="24"/>
        </w:rPr>
        <w:t xml:space="preserve">а) коэффициент достаточности (адекватности) суммарного капитала (К2.1)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К2.1 = (ЧСК / (ЧРА + П * Кор))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ЧСК - чистый Суммарный капитал, который определяется как сумма капитала Первого уровня и капитала Второго уровня.</w:t>
      </w:r>
    </w:p>
    <w:p>
      <w:pPr>
        <w:spacing w:after="120"/>
        <w:jc w:val="both"/>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pPr>
        <w:spacing w:after="120"/>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pPr>
        <w:spacing w:after="120"/>
        <w:jc w:val="both"/>
      </w:pPr>
      <w:r>
        <w:rPr>
          <w:rFonts w:ascii="Arial" w:cs="Arial" w:eastAsia="Arial" w:hAnsi="Arial"/>
          <w:sz w:val="24"/>
          <w:szCs w:val="24"/>
        </w:rPr>
        <w:t xml:space="preserve">б) коэффициент достаточности (адекватности) капитала Первого уровня (К2.2)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К2.2 = (КПУ / ЧРА)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КПУ - капитал Первого уровня, который определяется согласно пункту 3.6 настоящей Инструкции.</w:t>
      </w:r>
    </w:p>
    <w:p>
      <w:pPr>
        <w:spacing w:after="120"/>
        <w:jc w:val="both"/>
      </w:pPr>
      <w:r>
        <w:rPr>
          <w:rFonts w:ascii="Arial" w:cs="Arial" w:eastAsia="Arial" w:hAnsi="Arial"/>
          <w:sz w:val="24"/>
          <w:szCs w:val="24"/>
        </w:rPr>
        <w:t xml:space="preserve">в) коэффициент достаточности (адекватности) Базового капитала Первого уровня (К2.3)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К2.3 = (БКПУ / ЧРА)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БКПУ - Базовый капитал Первого уровня.</w:t>
      </w:r>
    </w:p>
    <w:p>
      <w:pPr>
        <w:spacing w:after="120"/>
        <w:jc w:val="both"/>
      </w:pPr>
      <w:r>
        <w:rPr>
          <w:rFonts w:ascii="Arial" w:cs="Arial" w:eastAsia="Arial" w:hAnsi="Arial"/>
          <w:sz w:val="24"/>
          <w:szCs w:val="24"/>
        </w:rPr>
        <w:t xml:space="preserve">Национальный банк Кыргызской Республики (далее - 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pPr>
        <w:spacing w:after="120"/>
        <w:jc w:val="both"/>
      </w:pPr>
      <w:r>
        <w:rPr>
          <w:rFonts w:ascii="Arial" w:cs="Arial" w:eastAsia="Arial" w:hAnsi="Arial"/>
          <w:sz w:val="24"/>
          <w:szCs w:val="24"/>
        </w:rPr>
        <w:t xml:space="preserve">(В редакции постановлений Правления Нацбанка КР от 27 декабря 2019 года № 2019-П-12/68-2. </w:t>
      </w:r>
      <w:hyperlink w:history="1" r:id="rIdn_fadtcn-x_zhpsm9wizz">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Левераж (К2.4)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К2.4 = (КПУ / (СА + ЗО)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 - суммарные активы банка за минусом нематериальных активов и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кредитной конверсии) в пределах суммы взвешенных забалансовых обязательств.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arfzixg5pyf5s3y85p-x">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Значение индекса "буфер капитала" банков устанавливается Комитетом по надзору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27 декабря 2019 года № 2019-П-12/68-2)</w:t>
      </w:r>
    </w:p>
    <w:p>
      <w:pPr>
        <w:spacing w:after="120"/>
        <w:jc w:val="both"/>
      </w:pPr>
      <w:r>
        <w:rPr>
          <w:rFonts w:ascii="Arial" w:cs="Arial" w:eastAsia="Arial" w:hAnsi="Arial"/>
          <w:sz w:val="24"/>
          <w:szCs w:val="24"/>
        </w:rPr>
        <w:t xml:space="preserve">2.5.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pPr>
        <w:spacing w:after="120"/>
        <w:jc w:val="both"/>
      </w:pPr>
      <w:r>
        <w:rPr>
          <w:rFonts w:ascii="Arial" w:cs="Arial" w:eastAsia="Arial" w:hAnsi="Arial"/>
          <w:sz w:val="24"/>
          <w:szCs w:val="24"/>
        </w:rPr>
        <w:t xml:space="preserve">После выплаты дивидендов индекс "буфер капитала" должен составлять значение не ниже установленного Национальным банком.</w:t>
      </w:r>
    </w:p>
    <w:p>
      <w:pPr>
        <w:spacing w:after="120"/>
        <w:jc w:val="both"/>
      </w:pPr>
      <w:r>
        <w:rPr>
          <w:rFonts w:ascii="Arial" w:cs="Arial" w:eastAsia="Arial" w:hAnsi="Arial"/>
          <w:sz w:val="24"/>
          <w:szCs w:val="24"/>
        </w:rPr>
        <w:t xml:space="preserve">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ifvudghk1lgcpfykpptf">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(Утратил силу в соответствии с </w:t>
      </w:r>
      <w:hyperlink w:history="1" r:id="rId3u-eim8jwvkmzedbx0k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августа 2018 года № 2018-П-12/33-6)</w:t>
      </w:r>
    </w:p>
    <w:p>
      <w:pPr>
        <w:spacing w:after="120"/>
        <w:jc w:val="both"/>
      </w:pPr>
      <w:r>
        <w:rPr>
          <w:rFonts w:ascii="Arial" w:cs="Arial" w:eastAsia="Arial" w:hAnsi="Arial"/>
          <w:sz w:val="24"/>
          <w:szCs w:val="24"/>
        </w:rPr>
        <w:t xml:space="preserve">3. Структура капитала</w:t>
      </w:r>
    </w:p>
    <w:p>
      <w:pPr>
        <w:spacing w:after="120"/>
        <w:jc w:val="both"/>
      </w:pPr>
      <w:r>
        <w:rPr>
          <w:rFonts w:ascii="Arial" w:cs="Arial" w:eastAsia="Arial" w:hAnsi="Arial"/>
          <w:sz w:val="24"/>
          <w:szCs w:val="24"/>
        </w:rPr>
        <w:t xml:space="preserve">(Глава
  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3.1. Основу капитала составляет полностью оплаченный уставный капитал банка. Согласно стандартам Базельского комитета по банковскому надзору, уставный капитал - это "ключевой элемент капитала, общий для банковских систем во всех странах; он совершенно четко виден в публикуемой банками отчетности и является базой, на которой основывается рыночная оценка адекватности капитала; он имеет решающее значение для определения показателей прибыльности и конкурентоспособности банка".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3.2.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3.3. Банк не имеет право принимать в залог собственные акции.</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3.4. Для целей банковского надзора отличительным признаком составляющих капитала является его способность покрывать убытки, которые могут возникнуть в процессе деятельности банка. По этой причине при оценке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3.5.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3.6. Капитал Первого уровня необходим для обеспечения поглощения убытков в ходе текущей деятельности банка.</w:t>
      </w:r>
    </w:p>
    <w:p>
      <w:pPr>
        <w:spacing w:after="120"/>
        <w:jc w:val="both"/>
      </w:pPr>
      <w:r>
        <w:rPr>
          <w:rFonts w:ascii="Arial" w:cs="Arial" w:eastAsia="Arial" w:hAnsi="Arial"/>
          <w:sz w:val="24"/>
          <w:szCs w:val="24"/>
        </w:rPr>
        <w:t xml:space="preserve">Капитал Первого уровня состоит из следующих элементов:</w:t>
      </w:r>
    </w:p>
    <w:p>
      <w:pPr>
        <w:spacing w:after="120"/>
        <w:jc w:val="both"/>
      </w:pPr>
      <w:r>
        <w:rPr>
          <w:rFonts w:ascii="Arial" w:cs="Arial" w:eastAsia="Arial" w:hAnsi="Arial"/>
          <w:sz w:val="24"/>
          <w:szCs w:val="24"/>
        </w:rPr>
        <w:t xml:space="preserve">- Базовый капитал Первого уровня;</w:t>
      </w:r>
    </w:p>
    <w:p>
      <w:pPr>
        <w:spacing w:after="120"/>
        <w:jc w:val="both"/>
      </w:pPr>
      <w:r>
        <w:rPr>
          <w:rFonts w:ascii="Arial" w:cs="Arial" w:eastAsia="Arial" w:hAnsi="Arial"/>
          <w:sz w:val="24"/>
          <w:szCs w:val="24"/>
        </w:rPr>
        <w:t xml:space="preserve">- Дополнительный капитал Первого уровня.</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3.7. Структуру Базового капитала Первого уровня составляют следующие элементы:</w:t>
      </w:r>
    </w:p>
    <w:p>
      <w:pPr>
        <w:spacing w:after="120"/>
        <w:jc w:val="both"/>
      </w:pPr>
      <w:r>
        <w:rPr>
          <w:rFonts w:ascii="Arial" w:cs="Arial" w:eastAsia="Arial" w:hAnsi="Arial"/>
          <w:sz w:val="24"/>
          <w:szCs w:val="24"/>
        </w:rPr>
        <w:t xml:space="preserve">1) "простые акции" - выпущенные и полностью оплаченные простые акции банка, удовлетворяющие условиям, установленным законодательством;</w:t>
      </w:r>
    </w:p>
    <w:p>
      <w:pPr>
        <w:spacing w:after="120"/>
        <w:jc w:val="both"/>
      </w:pPr>
      <w:r>
        <w:rPr>
          <w:rFonts w:ascii="Arial" w:cs="Arial" w:eastAsia="Arial" w:hAnsi="Arial"/>
          <w:sz w:val="24"/>
          <w:szCs w:val="24"/>
        </w:rPr>
        <w:t xml:space="preserve">2) "привилегированные некумулятивные акции" - выпущенные и полностью оплаченные привилегированные акции банка, удовлетворяющие условиям, установленным законодательством, и не требующие от банка распределения дивидендов.</w:t>
      </w:r>
    </w:p>
    <w:p>
      <w:pPr>
        <w:spacing w:after="120"/>
        <w:jc w:val="both"/>
      </w:pPr>
      <w:r>
        <w:rPr>
          <w:rFonts w:ascii="Arial" w:cs="Arial" w:eastAsia="Arial" w:hAnsi="Arial"/>
          <w:sz w:val="24"/>
          <w:szCs w:val="24"/>
        </w:rPr>
        <w:t xml:space="preserve">При наличии обстоятельств/условий, когда распределение дивидендов является обязательным, такие привилегированные акции и капитал, внесенный сверх номинала по данным акциям, должны учитываться в Дополнительном капитале Первого уровня либо в капитале Второго уровня;</w:t>
      </w:r>
    </w:p>
    <w:p>
      <w:pPr>
        <w:spacing w:after="120"/>
        <w:jc w:val="both"/>
      </w:pPr>
      <w:r>
        <w:rPr>
          <w:rFonts w:ascii="Arial" w:cs="Arial" w:eastAsia="Arial" w:hAnsi="Arial"/>
          <w:sz w:val="24"/>
          <w:szCs w:val="24"/>
        </w:rPr>
        <w:t xml:space="preserve">3) "капитал, внесенный сверх номинала" - разница между ценой продажи простых и привилегированных акций, включенных в Базовый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Капитал, внесенный сверх номинала, не подлежит распределению акционерам в виде дивидендов и остается в банке.</w:t>
      </w:r>
    </w:p>
    <w:p>
      <w:pPr>
        <w:spacing w:after="120"/>
        <w:jc w:val="both"/>
      </w:pPr>
      <w:r>
        <w:rPr>
          <w:rFonts w:ascii="Arial" w:cs="Arial" w:eastAsia="Arial" w:hAnsi="Arial"/>
          <w:sz w:val="24"/>
          <w:szCs w:val="24"/>
        </w:rPr>
        <w:t xml:space="preserve">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pPr>
        <w:spacing w:after="120"/>
        <w:jc w:val="both"/>
      </w:pPr>
      <w:r>
        <w:rPr>
          <w:rFonts w:ascii="Arial" w:cs="Arial" w:eastAsia="Arial" w:hAnsi="Arial"/>
          <w:sz w:val="24"/>
          <w:szCs w:val="24"/>
        </w:rPr>
        <w:t xml:space="preserve">4) "резервы для будущих потребностей банка" - резервы, созданные из прибыли после налогообложения на будущие и/или непредвиденные события;</w:t>
      </w:r>
    </w:p>
    <w:p>
      <w:pPr>
        <w:spacing w:after="120"/>
        <w:jc w:val="both"/>
      </w:pPr>
      <w:r>
        <w:rPr>
          <w:rFonts w:ascii="Arial" w:cs="Arial" w:eastAsia="Arial" w:hAnsi="Arial"/>
          <w:sz w:val="24"/>
          <w:szCs w:val="24"/>
        </w:rPr>
        <w:t xml:space="preserve">5)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3.8. В структуру Дополнительного капитала Первого уровня входят следующие элементы:</w:t>
      </w:r>
    </w:p>
    <w:p>
      <w:pPr>
        <w:spacing w:after="120"/>
        <w:jc w:val="both"/>
      </w:pPr>
      <w:r>
        <w:rPr>
          <w:rFonts w:ascii="Arial" w:cs="Arial" w:eastAsia="Arial" w:hAnsi="Arial"/>
          <w:sz w:val="24"/>
          <w:szCs w:val="24"/>
        </w:rPr>
        <w:t xml:space="preserve">1) "дополнительный капитал, внесенный физическими и юридическими лицами" - средства, вносимые физическими и юридическими лицами сверх оплаченного уставного капитала. Необходимость внесения данных средств возникает в случае невыполнения банком требований Национального банка по минимальному размеру собственного (регулятивного) капитала (капитала Первого уровня) и/или экономических нормативов, и/или при наличии риска их неисполнения, в том числе по требованию Национального банка, и/или необходимости увеличения уставного капитала к сроку, определенному Национальным банком. Данные средства зачисляются только при наличии у банка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бессрочности вносимых средств, а также с условием, что в случае банкротства банка требования по данным средствам будут удовлетворяться в той же очереди, что и требования акционеров банка. Размер дополнительного капитала должен быть достаточным для того, чтобы банк выполнял минимальные значения по данным требованиям и нормативам. В последующем дополнительно внесенные физическими и юридическими лицами средства должны быть преобразованы в простые и/или привилегированные акции, а сами эти лица должны быть наделены бесспорным правом на приобретение выпускаемых акций на сумму этих предоставленных средств;</w:t>
      </w:r>
    </w:p>
    <w:p>
      <w:pPr>
        <w:spacing w:after="120"/>
        <w:jc w:val="both"/>
      </w:pPr>
      <w:r>
        <w:rPr>
          <w:rFonts w:ascii="Arial" w:cs="Arial" w:eastAsia="Arial" w:hAnsi="Arial"/>
          <w:sz w:val="24"/>
          <w:szCs w:val="24"/>
        </w:rPr>
        <w:t xml:space="preserve">2) "привилегированные акции, которые соответствуют критериям Дополнительного капитала Первого уровня, но не приемлемые для Базового капитала Первого уровня". Привилегированные акции в данной статье указываются с учетом суммы, внесенной выше их номинальной стоимости;</w:t>
      </w:r>
    </w:p>
    <w:p>
      <w:pPr>
        <w:spacing w:after="120"/>
        <w:jc w:val="both"/>
      </w:pPr>
      <w:r>
        <w:rPr>
          <w:rFonts w:ascii="Arial" w:cs="Arial" w:eastAsia="Arial" w:hAnsi="Arial"/>
          <w:sz w:val="24"/>
          <w:szCs w:val="24"/>
        </w:rPr>
        <w:t xml:space="preserve">3) "другие инструменты капитала" - инструменты, обладающие признаками как капитала, так и долгового обязательства, к которому относится бессрочный субординированный долг.</w:t>
      </w:r>
    </w:p>
    <w:p>
      <w:pPr>
        <w:spacing w:after="120"/>
        <w:jc w:val="both"/>
      </w:pPr>
      <w:r>
        <w:rPr>
          <w:rFonts w:ascii="Arial" w:cs="Arial" w:eastAsia="Arial" w:hAnsi="Arial"/>
          <w:sz w:val="24"/>
          <w:szCs w:val="24"/>
        </w:rPr>
        <w:t xml:space="preserve">Под субординированным долгом понимается необеспеченное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120"/>
        <w:jc w:val="both"/>
      </w:pPr>
      <w:r>
        <w:rPr>
          <w:rFonts w:ascii="Arial" w:cs="Arial" w:eastAsia="Arial" w:hAnsi="Arial"/>
          <w:sz w:val="24"/>
          <w:szCs w:val="24"/>
        </w:rPr>
        <w:t xml:space="preserve">Инструменты Дополнительного капитала Первого уровня, эмитированные банком, должны соответствовать установленным для них критериям.</w:t>
      </w:r>
    </w:p>
    <w:p>
      <w:pPr>
        <w:spacing w:after="120"/>
        <w:jc w:val="both"/>
      </w:pPr>
      <w:r>
        <w:rPr>
          <w:rFonts w:ascii="Arial" w:cs="Arial" w:eastAsia="Arial" w:hAnsi="Arial"/>
          <w:sz w:val="24"/>
          <w:szCs w:val="24"/>
        </w:rPr>
        <w:t xml:space="preserve">(В редакции постановления Правления Нацбанка КР от 23 декабря 2020 года № 2020-П-12/73-10)</w:t>
      </w:r>
    </w:p>
    <w:p>
      <w:pPr>
        <w:spacing w:after="120"/>
        <w:jc w:val="both"/>
      </w:pPr>
      <w:r>
        <w:rPr>
          <w:rFonts w:ascii="Arial" w:cs="Arial" w:eastAsia="Arial" w:hAnsi="Arial"/>
          <w:sz w:val="24"/>
          <w:szCs w:val="24"/>
        </w:rPr>
        <w:t xml:space="preserve">3.8-1. Дополнительный капитал Первого уровня должен соответствовать следующим критериям по элементам капитала:</w:t>
      </w:r>
    </w:p>
    <w:p>
      <w:pPr>
        <w:spacing w:after="120"/>
        <w:jc w:val="both"/>
      </w:pPr>
      <w:r>
        <w:rPr>
          <w:rFonts w:ascii="Arial" w:cs="Arial" w:eastAsia="Arial" w:hAnsi="Arial"/>
          <w:sz w:val="24"/>
          <w:szCs w:val="24"/>
        </w:rPr>
        <w:t xml:space="preserve">1) должны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должны быть бессрочными, т.е. не иметь сроков погашения;</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не менее пяти лет.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любая выплата основной суммы (например, путем выкупа или выплаты) должна осуществляться с предварительного согласия Национального банка, и банки не должны предполагать или создавать ожидания, что будет получено согласие Национального банка;</w:t>
      </w:r>
    </w:p>
    <w:p>
      <w:pPr>
        <w:spacing w:after="120"/>
        <w:jc w:val="both"/>
      </w:pPr>
      <w:r>
        <w:rPr>
          <w:rFonts w:ascii="Arial" w:cs="Arial" w:eastAsia="Arial" w:hAnsi="Arial"/>
          <w:sz w:val="24"/>
          <w:szCs w:val="24"/>
        </w:rPr>
        <w:t xml:space="preserve">7) право выбора в отношении дивидендов/выплаты процентов:</w:t>
      </w:r>
    </w:p>
    <w:p>
      <w:pPr>
        <w:spacing w:after="120"/>
        <w:jc w:val="both"/>
      </w:pPr>
      <w:r>
        <w:rPr>
          <w:rFonts w:ascii="Arial" w:cs="Arial" w:eastAsia="Arial" w:hAnsi="Arial"/>
          <w:sz w:val="24"/>
          <w:szCs w:val="24"/>
        </w:rPr>
        <w:t xml:space="preserve">а) банк должен при любых обстоятельствах обладать полным правом по отмене выплаты дивидендов/платежей;</w:t>
      </w:r>
    </w:p>
    <w:p>
      <w:pPr>
        <w:spacing w:after="120"/>
        <w:jc w:val="both"/>
      </w:pPr>
      <w:r>
        <w:rPr>
          <w:rFonts w:ascii="Arial" w:cs="Arial" w:eastAsia="Arial" w:hAnsi="Arial"/>
          <w:sz w:val="24"/>
          <w:szCs w:val="24"/>
        </w:rPr>
        <w:t xml:space="preserve">б) принятие решения об отмене выплаты дивидендов и платежей не должно рассматриваться в качестве случая невыполнения обязательств или неплатежеспособности банка;</w:t>
      </w:r>
    </w:p>
    <w:p>
      <w:pPr>
        <w:spacing w:after="120"/>
        <w:jc w:val="both"/>
      </w:pPr>
      <w:r>
        <w:rPr>
          <w:rFonts w:ascii="Arial" w:cs="Arial" w:eastAsia="Arial" w:hAnsi="Arial"/>
          <w:sz w:val="24"/>
          <w:szCs w:val="24"/>
        </w:rPr>
        <w:t xml:space="preserve">в) возможность исполнения иных обязательств по мере наступления сроков их исполнения за счет невыплаченных дивидендов;</w:t>
      </w:r>
    </w:p>
    <w:p>
      <w:pPr>
        <w:spacing w:after="120"/>
        <w:jc w:val="both"/>
      </w:pPr>
      <w:r>
        <w:rPr>
          <w:rFonts w:ascii="Arial" w:cs="Arial" w:eastAsia="Arial" w:hAnsi="Arial"/>
          <w:sz w:val="24"/>
          <w:szCs w:val="24"/>
        </w:rPr>
        <w:t xml:space="preserve">г) отмена выплаты дивидендов/платежей не должна налагать ограничения на банк. При этом также могут быть установлены ограничения по выплате дивидендов по простым акциям;</w:t>
      </w:r>
    </w:p>
    <w:p>
      <w:pPr>
        <w:spacing w:after="120"/>
        <w:jc w:val="both"/>
      </w:pPr>
      <w:r>
        <w:rPr>
          <w:rFonts w:ascii="Arial" w:cs="Arial" w:eastAsia="Arial" w:hAnsi="Arial"/>
          <w:sz w:val="24"/>
          <w:szCs w:val="24"/>
        </w:rPr>
        <w:t xml:space="preserve">8) инструмент не может быть включен в обязательства в части, превышающей активы, в случае, если такое превышение является признаком неплатежеспособности согласно законодательству;</w:t>
      </w:r>
    </w:p>
    <w:p>
      <w:pPr>
        <w:spacing w:after="120"/>
        <w:jc w:val="both"/>
      </w:pPr>
      <w:r>
        <w:rPr>
          <w:rFonts w:ascii="Arial" w:cs="Arial" w:eastAsia="Arial" w:hAnsi="Arial"/>
          <w:sz w:val="24"/>
          <w:szCs w:val="24"/>
        </w:rPr>
        <w:t xml:space="preserve">9) если коэффициент Базового капитала Первого уровня банка снизится до 5,125%, банк должен иметь право на конвертацию этих инструментов в простые акции или списание этих инструментов путем распределения убытков по ним.</w:t>
      </w:r>
    </w:p>
    <w:p>
      <w:pPr>
        <w:spacing w:after="120"/>
        <w:jc w:val="both"/>
      </w:pPr>
      <w:r>
        <w:rPr>
          <w:rFonts w:ascii="Arial" w:cs="Arial" w:eastAsia="Arial" w:hAnsi="Arial"/>
          <w:sz w:val="24"/>
          <w:szCs w:val="24"/>
        </w:rPr>
        <w:t xml:space="preserve">При этом списание должно привести к следующим результатам:</w:t>
      </w:r>
    </w:p>
    <w:p>
      <w:pPr>
        <w:spacing w:after="120"/>
        <w:jc w:val="both"/>
      </w:pPr>
      <w:r>
        <w:rPr>
          <w:rFonts w:ascii="Arial" w:cs="Arial" w:eastAsia="Arial" w:hAnsi="Arial"/>
          <w:sz w:val="24"/>
          <w:szCs w:val="24"/>
        </w:rPr>
        <w:t xml:space="preserve">а) снижению требований по инструменту при ликвидации банка;</w:t>
      </w:r>
    </w:p>
    <w:p>
      <w:pPr>
        <w:spacing w:after="120"/>
        <w:jc w:val="both"/>
      </w:pPr>
      <w:r>
        <w:rPr>
          <w:rFonts w:ascii="Arial" w:cs="Arial" w:eastAsia="Arial" w:hAnsi="Arial"/>
          <w:sz w:val="24"/>
          <w:szCs w:val="24"/>
        </w:rPr>
        <w:t xml:space="preserve">б) снижению суммы, выплачиваемой при выкупе инструмента;</w:t>
      </w:r>
    </w:p>
    <w:p>
      <w:pPr>
        <w:spacing w:after="120"/>
        <w:jc w:val="both"/>
      </w:pPr>
      <w:r>
        <w:rPr>
          <w:rFonts w:ascii="Arial" w:cs="Arial" w:eastAsia="Arial" w:hAnsi="Arial"/>
          <w:sz w:val="24"/>
          <w:szCs w:val="24"/>
        </w:rPr>
        <w:t xml:space="preserve">в) частичному или полному сокращению суммы выплат по процентам/дивидендам;</w:t>
      </w:r>
    </w:p>
    <w:p>
      <w:pPr>
        <w:spacing w:after="120"/>
        <w:jc w:val="both"/>
      </w:pPr>
      <w:r>
        <w:rPr>
          <w:rFonts w:ascii="Arial" w:cs="Arial" w:eastAsia="Arial" w:hAnsi="Arial"/>
          <w:sz w:val="24"/>
          <w:szCs w:val="24"/>
        </w:rPr>
        <w:t xml:space="preserve">10)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3.9. Капитал Второго уровня необходим для обеспечения поглощения убытков при ликвидации банка.</w:t>
      </w:r>
    </w:p>
    <w:p>
      <w:pPr>
        <w:spacing w:after="120"/>
        <w:jc w:val="both"/>
      </w:pPr>
      <w:r>
        <w:rPr>
          <w:rFonts w:ascii="Arial" w:cs="Arial" w:eastAsia="Arial" w:hAnsi="Arial"/>
          <w:sz w:val="24"/>
          <w:szCs w:val="24"/>
        </w:rPr>
        <w:t xml:space="preserve">Структуру капитала Второго уровня составляют следующие элементы:</w:t>
      </w:r>
    </w:p>
    <w:p>
      <w:pPr>
        <w:spacing w:after="120"/>
        <w:jc w:val="both"/>
      </w:pPr>
      <w:r>
        <w:rPr>
          <w:rFonts w:ascii="Arial" w:cs="Arial" w:eastAsia="Arial" w:hAnsi="Arial"/>
          <w:sz w:val="24"/>
          <w:szCs w:val="24"/>
        </w:rPr>
        <w:t xml:space="preserve">1) "прибыль текущего года" - прибыль после налогообложения, полученная в текущем году;</w:t>
      </w:r>
    </w:p>
    <w:p>
      <w:pPr>
        <w:spacing w:after="120"/>
        <w:jc w:val="both"/>
      </w:pPr>
      <w:r>
        <w:rPr>
          <w:rFonts w:ascii="Arial" w:cs="Arial" w:eastAsia="Arial" w:hAnsi="Arial"/>
          <w:sz w:val="24"/>
          <w:szCs w:val="24"/>
        </w:rPr>
        <w:t xml:space="preserve">2) "общие резервы":</w:t>
      </w:r>
    </w:p>
    <w:p>
      <w:pPr>
        <w:spacing w:after="120"/>
        <w:jc w:val="both"/>
      </w:pPr>
      <w:r>
        <w:rPr>
          <w:rFonts w:ascii="Arial" w:cs="Arial" w:eastAsia="Arial" w:hAnsi="Arial"/>
          <w:sz w:val="24"/>
          <w:szCs w:val="24"/>
        </w:rPr>
        <w:t xml:space="preserve">а) "общие" резервы на покрытие потенциальных потерь и убытков;</w:t>
      </w:r>
    </w:p>
    <w:p>
      <w:pPr>
        <w:spacing w:after="120"/>
        <w:jc w:val="both"/>
      </w:pPr>
      <w:r>
        <w:rPr>
          <w:rFonts w:ascii="Arial" w:cs="Arial" w:eastAsia="Arial" w:hAnsi="Arial"/>
          <w:sz w:val="24"/>
          <w:szCs w:val="24"/>
        </w:rPr>
        <w:t xml:space="preserve">б) "общие" резервы на покрытие потенциальных потерь и убытков от других активов, кроме кредитов.</w:t>
      </w:r>
    </w:p>
    <w:p>
      <w:pPr>
        <w:spacing w:after="120"/>
        <w:jc w:val="both"/>
      </w:pPr>
      <w:r>
        <w:rPr>
          <w:rFonts w:ascii="Arial" w:cs="Arial" w:eastAsia="Arial" w:hAnsi="Arial"/>
          <w:sz w:val="24"/>
          <w:szCs w:val="24"/>
        </w:rPr>
        <w:t xml:space="preserve">Данные резервы, имеющие право на включение в Капитал Второго уровня, будут ограничены максимум на 1,25 процентов, от стоимости активов и забалансовых обязательств, взвешенных по степени кредитного риска;</w:t>
      </w:r>
    </w:p>
    <w:p>
      <w:pPr>
        <w:spacing w:after="120"/>
        <w:jc w:val="both"/>
      </w:pPr>
      <w:r>
        <w:rPr>
          <w:rFonts w:ascii="Arial" w:cs="Arial" w:eastAsia="Arial" w:hAnsi="Arial"/>
          <w:sz w:val="24"/>
          <w:szCs w:val="24"/>
        </w:rPr>
        <w:t xml:space="preserve">3) "резервы по переоценке ценных бумаг" - нереализованные прибыль (убытки) по результатам переоценки ценных бумаг, годных для продажи;</w:t>
      </w:r>
    </w:p>
    <w:p>
      <w:pPr>
        <w:spacing w:after="120"/>
        <w:jc w:val="both"/>
      </w:pPr>
      <w:r>
        <w:rPr>
          <w:rFonts w:ascii="Arial" w:cs="Arial" w:eastAsia="Arial" w:hAnsi="Arial"/>
          <w:sz w:val="24"/>
          <w:szCs w:val="24"/>
        </w:rPr>
        <w:t xml:space="preserve">4) "резервы по пересчету иностранной валюты при консолидации" - нереализованные доходы (убытки), возникающие в результате изменения валютного курса при пересчете отчетности иностранных дочерних финансовых учреждений банка;</w:t>
      </w:r>
    </w:p>
    <w:p>
      <w:pPr>
        <w:spacing w:after="120"/>
        <w:jc w:val="both"/>
      </w:pPr>
      <w:r>
        <w:rPr>
          <w:rFonts w:ascii="Arial" w:cs="Arial" w:eastAsia="Arial" w:hAnsi="Arial"/>
          <w:sz w:val="24"/>
          <w:szCs w:val="24"/>
        </w:rPr>
        <w:t xml:space="preserve">5) 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w:t>
      </w:r>
    </w:p>
    <w:p>
      <w:pPr>
        <w:spacing w:after="120"/>
        <w:jc w:val="both"/>
      </w:pPr>
      <w:r>
        <w:rPr>
          <w:rFonts w:ascii="Arial" w:cs="Arial" w:eastAsia="Arial" w:hAnsi="Arial"/>
          <w:sz w:val="24"/>
          <w:szCs w:val="24"/>
        </w:rPr>
        <w:t xml:space="preserve">6) 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Инструменты, входящие в структуру капитала Второго уровня, должны соответствовать следующим критериям:</w:t>
      </w:r>
    </w:p>
    <w:p>
      <w:pPr>
        <w:spacing w:after="120"/>
        <w:jc w:val="both"/>
      </w:pPr>
      <w:r>
        <w:rPr>
          <w:rFonts w:ascii="Arial" w:cs="Arial" w:eastAsia="Arial" w:hAnsi="Arial"/>
          <w:sz w:val="24"/>
          <w:szCs w:val="24"/>
        </w:rPr>
        <w:t xml:space="preserve">1)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срок погашения:</w:t>
      </w:r>
    </w:p>
    <w:p>
      <w:pPr>
        <w:spacing w:after="120"/>
        <w:jc w:val="both"/>
      </w:pPr>
      <w:r>
        <w:rPr>
          <w:rFonts w:ascii="Arial" w:cs="Arial" w:eastAsia="Arial" w:hAnsi="Arial"/>
          <w:sz w:val="24"/>
          <w:szCs w:val="24"/>
        </w:rPr>
        <w:t xml:space="preserve">а) минимальный срок погашения должен составлять не менее 5 (пяти) лет,</w:t>
      </w:r>
    </w:p>
    <w:p>
      <w:pPr>
        <w:spacing w:after="120"/>
        <w:jc w:val="both"/>
      </w:pPr>
      <w:r>
        <w:rPr>
          <w:rFonts w:ascii="Arial" w:cs="Arial" w:eastAsia="Arial" w:hAnsi="Arial"/>
          <w:sz w:val="24"/>
          <w:szCs w:val="24"/>
        </w:rPr>
        <w:t xml:space="preserve">б) амортизация инструментов капитала осуществляется на основе метода равномерных отчислений за оставшиеся пять лет до наступления срока погашения;</w:t>
      </w:r>
    </w:p>
    <w:p>
      <w:pPr>
        <w:spacing w:after="120"/>
        <w:jc w:val="both"/>
      </w:pPr>
      <w:r>
        <w:rPr>
          <w:rFonts w:ascii="Arial" w:cs="Arial" w:eastAsia="Arial" w:hAnsi="Arial"/>
          <w:sz w:val="24"/>
          <w:szCs w:val="24"/>
        </w:rPr>
        <w:t xml:space="preserve">в) не должны предусматривать какие-либо стимулы к выкупу;</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5 (пять) лет, и только после предварительного одобрения Национального банка.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если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инвестор/кредитор не имеет каких-либо прав на досрочное погашение будущих запланированных платежей (процентного дохода или основной суммы инструмента), за исключением случаев банкротства и ликвидации;</w:t>
      </w:r>
    </w:p>
    <w:p>
      <w:pPr>
        <w:spacing w:after="120"/>
        <w:jc w:val="both"/>
      </w:pPr>
      <w:r>
        <w:rPr>
          <w:rFonts w:ascii="Arial" w:cs="Arial" w:eastAsia="Arial" w:hAnsi="Arial"/>
          <w:sz w:val="24"/>
          <w:szCs w:val="24"/>
        </w:rPr>
        <w:t xml:space="preserve">7)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(В редакции постановлений Правления Нацбанка КР от 28 июня 2019 года № 2019-П-12/34-3, 27 декабря 2019 года № 2019-П-12/68-2)</w:t>
      </w:r>
    </w:p>
    <w:p>
      <w:pPr>
        <w:spacing w:after="120"/>
        <w:jc w:val="both"/>
      </w:pPr>
      <w:r>
        <w:rPr>
          <w:rFonts w:ascii="Arial" w:cs="Arial" w:eastAsia="Arial" w:hAnsi="Arial"/>
          <w:sz w:val="24"/>
          <w:szCs w:val="24"/>
        </w:rPr>
        <w:t xml:space="preserve">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120"/>
        <w:jc w:val="both"/>
      </w:pPr>
      <w:r>
        <w:rPr>
          <w:rFonts w:ascii="Arial" w:cs="Arial" w:eastAsia="Arial" w:hAnsi="Arial"/>
          <w:sz w:val="24"/>
          <w:szCs w:val="24"/>
        </w:rPr>
        <w:t xml:space="preserve">1) убытки за текущий год;</w:t>
      </w:r>
    </w:p>
    <w:p>
      <w:pPr>
        <w:spacing w:after="120"/>
        <w:jc w:val="both"/>
      </w:pPr>
      <w:r>
        <w:rPr>
          <w:rFonts w:ascii="Arial" w:cs="Arial" w:eastAsia="Arial" w:hAnsi="Arial"/>
          <w:sz w:val="24"/>
          <w:szCs w:val="24"/>
        </w:rPr>
        <w:t xml:space="preserve">2) нематериальные активы, за исключением активов, связанных с техническими и программными продуктами (например, для биометрической идентификации, смарт-контракты и др.), направленными на увеличение количества клиентов и охвата услуг, которые соответствуют следующим требованиям:</w:t>
      </w:r>
    </w:p>
    <w:p>
      <w:pPr>
        <w:spacing w:after="120"/>
        <w:jc w:val="both"/>
      </w:pPr>
      <w:r>
        <w:rPr>
          <w:rFonts w:ascii="Arial" w:cs="Arial" w:eastAsia="Arial" w:hAnsi="Arial"/>
          <w:sz w:val="24"/>
          <w:szCs w:val="24"/>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w:t>
      </w:r>
    </w:p>
    <w:p>
      <w:pPr>
        <w:spacing w:after="120"/>
        <w:jc w:val="both"/>
      </w:pPr>
      <w:r>
        <w:rPr>
          <w:rFonts w:ascii="Arial" w:cs="Arial" w:eastAsia="Arial" w:hAnsi="Arial"/>
          <w:sz w:val="24"/>
          <w:szCs w:val="24"/>
        </w:rPr>
        <w:t xml:space="preserve">-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pPr>
        <w:spacing w:after="120"/>
        <w:jc w:val="both"/>
      </w:pPr>
      <w:r>
        <w:rPr>
          <w:rFonts w:ascii="Arial" w:cs="Arial" w:eastAsia="Arial" w:hAnsi="Arial"/>
          <w:sz w:val="24"/>
          <w:szCs w:val="24"/>
        </w:rPr>
        <w:t xml:space="preserve">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pPr>
        <w:spacing w:after="120"/>
        <w:jc w:val="both"/>
      </w:pPr>
      <w:r>
        <w:rPr>
          <w:rFonts w:ascii="Arial" w:cs="Arial" w:eastAsia="Arial" w:hAnsi="Arial"/>
          <w:sz w:val="24"/>
          <w:szCs w:val="24"/>
        </w:rPr>
        <w:t xml:space="preserve">Данные технические и программные продукты должны учитываться банком по балансовой стоимости;</w:t>
      </w:r>
    </w:p>
    <w:p>
      <w:pPr>
        <w:spacing w:after="120"/>
        <w:jc w:val="both"/>
      </w:pPr>
      <w:r>
        <w:rPr>
          <w:rFonts w:ascii="Arial" w:cs="Arial" w:eastAsia="Arial" w:hAnsi="Arial"/>
          <w:sz w:val="24"/>
          <w:szCs w:val="24"/>
        </w:rPr>
        <w:t xml:space="preserve">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pPr>
        <w:spacing w:after="120"/>
        <w:jc w:val="both"/>
      </w:pPr>
      <w:r>
        <w:rPr>
          <w:rFonts w:ascii="Arial" w:cs="Arial" w:eastAsia="Arial" w:hAnsi="Arial"/>
          <w:sz w:val="24"/>
          <w:szCs w:val="24"/>
        </w:rPr>
        <w:t xml:space="preserve">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120"/>
        <w:jc w:val="both"/>
      </w:pPr>
      <w:r>
        <w:rPr>
          <w:rFonts w:ascii="Arial" w:cs="Arial" w:eastAsia="Arial" w:hAnsi="Arial"/>
          <w:sz w:val="24"/>
          <w:szCs w:val="24"/>
        </w:rPr>
        <w:t xml:space="preserve">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pPr>
        <w:spacing w:after="120"/>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pPr>
        <w:spacing w:after="120"/>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rehblwxornmf1biadut3">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Значения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4. Оценка балансовых активов по степени риска</w:t>
      </w:r>
    </w:p>
    <w:p>
      <w:pPr>
        <w:spacing w:after="120"/>
        <w:jc w:val="both"/>
      </w:pPr>
      <w:r>
        <w:rPr>
          <w:rFonts w:ascii="Arial" w:cs="Arial" w:eastAsia="Arial" w:hAnsi="Arial"/>
          <w:sz w:val="24"/>
          <w:szCs w:val="24"/>
        </w:rPr>
        <w:t xml:space="preserve">4.1. Оценка адекватности капитала в рамках данной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актива, а также операционного риска в части расчета коэффициента адекватности суммарного капитала в соответствии с подпунктом "а" пункта 2.2 настоящей Инструкции.</w:t>
      </w:r>
    </w:p>
    <w:p>
      <w:pPr>
        <w:spacing w:after="120"/>
        <w:jc w:val="both"/>
      </w:pPr>
      <w:r>
        <w:rPr>
          <w:rFonts w:ascii="Arial" w:cs="Arial" w:eastAsia="Arial" w:hAnsi="Arial"/>
          <w:sz w:val="24"/>
          <w:szCs w:val="24"/>
        </w:rPr>
        <w:t xml:space="preserve">(В редакции постановления Правления Нацбанка КР от 27 декабря 2019 года № 2019-П-12/68-2)</w:t>
      </w:r>
    </w:p>
    <w:p>
      <w:pPr>
        <w:spacing w:after="120"/>
        <w:jc w:val="both"/>
      </w:pPr>
      <w:r>
        <w:rPr>
          <w:rFonts w:ascii="Arial" w:cs="Arial" w:eastAsia="Arial" w:hAnsi="Arial"/>
          <w:sz w:val="24"/>
          <w:szCs w:val="24"/>
        </w:rPr>
        <w:t xml:space="preserve">4.2. Различные виды балансовых активов имеют различную степень кредитного риска. Так, например, наличность в кассе банка является практически безрисковым видом активов в сравнении с кредитными вложениями или инвестициями в основные средства. В зависимости от степени кредитного риска все балансовые активы делятся на пять категорий (см. ниже). При этом, основными критериями, в соответствии с которыми балансовые активы относятся к той или иной категории, являются: тип партнера, страновая принадлежность партнера с точки зрения трансфертного риска, обеспечение актива, гарантии и продолжительность действия актива.</w:t>
      </w:r>
    </w:p>
    <w:p>
      <w:pPr>
        <w:spacing w:after="120"/>
        <w:jc w:val="both"/>
      </w:pPr>
      <w:r>
        <w:rPr>
          <w:rFonts w:ascii="Arial" w:cs="Arial" w:eastAsia="Arial" w:hAnsi="Arial"/>
          <w:sz w:val="24"/>
          <w:szCs w:val="24"/>
        </w:rPr>
        <w:t xml:space="preserve">4.3. В зависимости от степени кредитного риска, а также от типа отдельных партнеров/контрагентов балансовые активы делятся на следующие категории:</w:t>
      </w:r>
    </w:p>
    <w:p>
      <w:pPr>
        <w:spacing w:after="120"/>
        <w:jc w:val="both"/>
      </w:pPr>
      <w:r>
        <w:rPr>
          <w:rFonts w:ascii="Arial" w:cs="Arial" w:eastAsia="Arial" w:hAnsi="Arial"/>
          <w:sz w:val="24"/>
          <w:szCs w:val="24"/>
        </w:rPr>
        <w:t xml:space="preserve">1) Категория 1 (степень кредитного риска - 0%):</w:t>
      </w:r>
    </w:p>
    <w:p>
      <w:pPr>
        <w:spacing w:after="120"/>
        <w:jc w:val="both"/>
      </w:pPr>
      <w:r>
        <w:rPr>
          <w:rFonts w:ascii="Arial" w:cs="Arial" w:eastAsia="Arial" w:hAnsi="Arial"/>
          <w:sz w:val="24"/>
          <w:szCs w:val="24"/>
        </w:rPr>
        <w:t xml:space="preserve">а) банкноты и монеты Кыргызской Республики, государств, являющихся членами ЕАЭС и ОЭСР 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Примечание: ОЭСР - Организация экономического сотрудничества и развития. Перечень государств-членов ОЭСР размещен на официальном сайте www.oecd.org;</w:t>
      </w:r>
    </w:p>
    <w:p>
      <w:pPr>
        <w:spacing w:after="120"/>
        <w:jc w:val="both"/>
      </w:pPr>
      <w:r>
        <w:rPr>
          <w:rFonts w:ascii="Arial" w:cs="Arial" w:eastAsia="Arial" w:hAnsi="Arial"/>
          <w:sz w:val="24"/>
          <w:szCs w:val="24"/>
        </w:rPr>
        <w:t xml:space="preserve">б) требования к Национальному банку;</w:t>
      </w:r>
    </w:p>
    <w:p>
      <w:pPr>
        <w:spacing w:after="120"/>
        <w:jc w:val="both"/>
      </w:pPr>
      <w:r>
        <w:rPr>
          <w:rFonts w:ascii="Arial" w:cs="Arial" w:eastAsia="Arial" w:hAnsi="Arial"/>
          <w:sz w:val="24"/>
          <w:szCs w:val="24"/>
        </w:rPr>
        <w:t xml:space="preserve">в) требования к Правительству Кыргызской Республики (ценные бумаги, выпущенные Правительством Кыргызской Республики и другие требования);</w:t>
      </w:r>
    </w:p>
    <w:p>
      <w:pPr>
        <w:spacing w:after="120"/>
        <w:jc w:val="both"/>
      </w:pPr>
      <w:r>
        <w:rPr>
          <w:rFonts w:ascii="Arial" w:cs="Arial" w:eastAsia="Arial" w:hAnsi="Arial"/>
          <w:sz w:val="24"/>
          <w:szCs w:val="24"/>
        </w:rPr>
        <w:t xml:space="preserve">г) требования к центральным (национальным) банкам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120"/>
        <w:jc w:val="both"/>
      </w:pPr>
      <w:r>
        <w:rPr>
          <w:rFonts w:ascii="Arial" w:cs="Arial" w:eastAsia="Arial" w:hAnsi="Arial"/>
          <w:sz w:val="24"/>
          <w:szCs w:val="24"/>
        </w:rPr>
        <w:t xml:space="preserve">д) требования к правительствам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(ценные бумаги, выпущенные правительствами);</w:t>
      </w:r>
    </w:p>
    <w:p>
      <w:pPr>
        <w:spacing w:after="120"/>
        <w:jc w:val="both"/>
      </w:pPr>
      <w:r>
        <w:rPr>
          <w:rFonts w:ascii="Arial" w:cs="Arial" w:eastAsia="Arial" w:hAnsi="Arial"/>
          <w:sz w:val="24"/>
          <w:szCs w:val="24"/>
        </w:rPr>
        <w:t xml:space="preserve">е) активы (или их часть) с обеспечением, выраженным в национальной валюте Кыргызской Республики, и находящимся на отдельном депозитном счете.</w:t>
      </w:r>
    </w:p>
    <w:p>
      <w:pPr>
        <w:spacing w:after="120"/>
        <w:jc w:val="both"/>
      </w:pPr>
      <w:r>
        <w:rPr>
          <w:rFonts w:ascii="Arial" w:cs="Arial" w:eastAsia="Arial" w:hAnsi="Arial"/>
          <w:sz w:val="24"/>
          <w:szCs w:val="24"/>
        </w:rPr>
        <w:t xml:space="preserve">Примечание: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 18/3 ох 21 июля 2004 года;</w:t>
      </w:r>
    </w:p>
    <w:p>
      <w:pPr>
        <w:spacing w:after="120"/>
        <w:jc w:val="both"/>
      </w:pPr>
      <w:r>
        <w:rPr>
          <w:rFonts w:ascii="Arial" w:cs="Arial" w:eastAsia="Arial" w:hAnsi="Arial"/>
          <w:sz w:val="24"/>
          <w:szCs w:val="24"/>
        </w:rPr>
        <w:t xml:space="preserve">ж) активы (или их часть) с обеспечением, выраженным в валюте государств, являющихся членами ЕАЭС и ОЭСР, а также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 находящимся на отдельном депозитном счете;</w:t>
      </w:r>
    </w:p>
    <w:p>
      <w:pPr>
        <w:spacing w:after="120"/>
        <w:jc w:val="both"/>
      </w:pPr>
      <w:r>
        <w:rPr>
          <w:rFonts w:ascii="Arial" w:cs="Arial" w:eastAsia="Arial" w:hAnsi="Arial"/>
          <w:sz w:val="24"/>
          <w:szCs w:val="24"/>
        </w:rPr>
        <w:t xml:space="preserve">з) золото в виде аффинированных мерных слитков, эмитируемых Национальным банком;</w:t>
      </w:r>
    </w:p>
    <w:p>
      <w:pPr>
        <w:spacing w:after="120"/>
        <w:jc w:val="both"/>
      </w:pPr>
      <w:r>
        <w:rPr>
          <w:rFonts w:ascii="Arial" w:cs="Arial" w:eastAsia="Arial" w:hAnsi="Arial"/>
          <w:sz w:val="24"/>
          <w:szCs w:val="24"/>
        </w:rPr>
        <w:t xml:space="preserve">и) (утратил силу в соответствии с </w:t>
      </w:r>
      <w:hyperlink w:history="1" r:id="rIdc_x-zmfwjtyfp2iff-j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сентября 2021 года № 2021-П-12/51-1)</w:t>
      </w:r>
    </w:p>
    <w:p>
      <w:pPr>
        <w:spacing w:after="120"/>
        <w:jc w:val="both"/>
      </w:pPr>
      <w:r>
        <w:rPr>
          <w:rFonts w:ascii="Arial" w:cs="Arial" w:eastAsia="Arial" w:hAnsi="Arial"/>
          <w:sz w:val="24"/>
          <w:szCs w:val="24"/>
        </w:rPr>
        <w:t xml:space="preserve">2) Категория 2 (степень кредитного риска - 10%):</w:t>
      </w:r>
    </w:p>
    <w:p>
      <w:pPr>
        <w:spacing w:after="120"/>
        <w:jc w:val="both"/>
      </w:pPr>
      <w:r>
        <w:rPr>
          <w:rFonts w:ascii="Arial" w:cs="Arial" w:eastAsia="Arial" w:hAnsi="Arial"/>
          <w:sz w:val="24"/>
          <w:szCs w:val="24"/>
        </w:rPr>
        <w:t xml:space="preserve">а) активы (или их часть), обеспеченные ценными бумагами по текущей рыночной цене, которые выпущены Правительством Кыргызской Республики;</w:t>
      </w:r>
    </w:p>
    <w:p>
      <w:pPr>
        <w:spacing w:after="120"/>
        <w:jc w:val="both"/>
      </w:pPr>
      <w:r>
        <w:rPr>
          <w:rFonts w:ascii="Arial" w:cs="Arial" w:eastAsia="Arial" w:hAnsi="Arial"/>
          <w:sz w:val="24"/>
          <w:szCs w:val="24"/>
        </w:rPr>
        <w:t xml:space="preserve">б) активы (или их часть), обеспеченные ценными бумагами по текущей рыночной цене, которые выпушены правительствами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120"/>
        <w:jc w:val="both"/>
      </w:pPr>
      <w:r>
        <w:rPr>
          <w:rFonts w:ascii="Arial" w:cs="Arial" w:eastAsia="Arial" w:hAnsi="Arial"/>
          <w:sz w:val="24"/>
          <w:szCs w:val="24"/>
        </w:rPr>
        <w:t xml:space="preserve">3) Категория 3 (степень кредитного риска - 20%):</w:t>
      </w:r>
    </w:p>
    <w:p>
      <w:pPr>
        <w:spacing w:after="120"/>
        <w:jc w:val="both"/>
      </w:pPr>
      <w:r>
        <w:rPr>
          <w:rFonts w:ascii="Arial" w:cs="Arial" w:eastAsia="Arial" w:hAnsi="Arial"/>
          <w:sz w:val="24"/>
          <w:szCs w:val="24"/>
        </w:rPr>
        <w:t xml:space="preserve">а) денежные активы в расчетах с банками и другими финансово-кредитными организациями Кыргызской Республики;</w:t>
      </w:r>
    </w:p>
    <w:p>
      <w:pPr>
        <w:spacing w:after="120"/>
        <w:jc w:val="both"/>
      </w:pPr>
      <w:r>
        <w:rPr>
          <w:rFonts w:ascii="Arial" w:cs="Arial" w:eastAsia="Arial" w:hAnsi="Arial"/>
          <w:sz w:val="24"/>
          <w:szCs w:val="24"/>
        </w:rPr>
        <w:t xml:space="preserve">б) золото и другие сертифицированные драгоценные метилы в стандартных слитках;</w:t>
      </w:r>
    </w:p>
    <w:p>
      <w:pPr>
        <w:spacing w:after="120"/>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120"/>
        <w:jc w:val="both"/>
      </w:pPr>
      <w:r>
        <w:rPr>
          <w:rFonts w:ascii="Arial" w:cs="Arial" w:eastAsia="Arial" w:hAnsi="Arial"/>
          <w:sz w:val="24"/>
          <w:szCs w:val="24"/>
        </w:rPr>
        <w:t xml:space="preserve">г) требования к банкам и другим финансово-кредитным организациям Кыргызской Республики, и все активы, основанные на гарантиях данных институтов;</w:t>
      </w:r>
    </w:p>
    <w:p>
      <w:pPr>
        <w:spacing w:after="120"/>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не являются аффилированными организациями по отношению к отчитывающемуся банку, и все активы, основанные на гарантиях данных институтов.</w:t>
      </w:r>
    </w:p>
    <w:p>
      <w:pPr>
        <w:spacing w:after="120"/>
        <w:jc w:val="both"/>
      </w:pPr>
      <w:r>
        <w:rPr>
          <w:rFonts w:ascii="Arial" w:cs="Arial" w:eastAsia="Arial" w:hAnsi="Arial"/>
          <w:sz w:val="24"/>
          <w:szCs w:val="24"/>
        </w:rPr>
        <w:t xml:space="preserve">4) Категория 4 (степень кредитного риска - 50%):</w:t>
      </w:r>
    </w:p>
    <w:p>
      <w:pPr>
        <w:spacing w:after="120"/>
        <w:jc w:val="both"/>
      </w:pPr>
      <w:r>
        <w:rPr>
          <w:rFonts w:ascii="Arial" w:cs="Arial" w:eastAsia="Arial" w:hAnsi="Arial"/>
          <w:sz w:val="24"/>
          <w:szCs w:val="24"/>
        </w:rPr>
        <w:t xml:space="preserve">а) кредиты физическим лицам для покупки или строительства жилья на одну семью и гарантированные первыми закладными по такому жилью. К этой категории относятся только такие ссуды,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pPr>
        <w:spacing w:after="120"/>
        <w:jc w:val="both"/>
      </w:pPr>
      <w:r>
        <w:rPr>
          <w:rFonts w:ascii="Arial" w:cs="Arial" w:eastAsia="Arial" w:hAnsi="Arial"/>
          <w:sz w:val="24"/>
          <w:szCs w:val="24"/>
        </w:rPr>
        <w:t xml:space="preserve">В случае, если данные кредиты просрочены свыше 30 дней и/или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б) золото и другие сертифицированные драгоценные металлы в мерных слитках, за исключением золотых аффинированных мерных слитков, эмитируемых Национальным банком;</w:t>
      </w:r>
    </w:p>
    <w:p>
      <w:pPr>
        <w:spacing w:after="120"/>
        <w:jc w:val="both"/>
      </w:pPr>
      <w:r>
        <w:rPr>
          <w:rFonts w:ascii="Arial" w:cs="Arial" w:eastAsia="Arial" w:hAnsi="Arial"/>
          <w:sz w:val="24"/>
          <w:szCs w:val="24"/>
        </w:rPr>
        <w:t xml:space="preserve">в) кредиты, выданные коммерческим банком по государственным программам, в том числе за счет собственных средств банков, связанным с финансированием сельского хозяйства и экспортно-ориентированных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pPr>
        <w:spacing w:after="120"/>
        <w:jc w:val="both"/>
      </w:pPr>
      <w:r>
        <w:rPr>
          <w:rFonts w:ascii="Arial" w:cs="Arial" w:eastAsia="Arial" w:hAnsi="Arial"/>
          <w:sz w:val="24"/>
          <w:szCs w:val="24"/>
        </w:rPr>
        <w:t xml:space="preserve">В случае, если данные кредиты просрочены свыше 90 дней и/или повторно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Примечание: к государственным программам относятся программы, финансируемые частично/полностью из республиканского бюджета или реализуемые через субсидирование процентных ставок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pPr>
        <w:spacing w:after="120"/>
        <w:jc w:val="both"/>
      </w:pPr>
      <w:r>
        <w:rPr>
          <w:rFonts w:ascii="Arial" w:cs="Arial" w:eastAsia="Arial" w:hAnsi="Arial"/>
          <w:sz w:val="24"/>
          <w:szCs w:val="24"/>
        </w:rPr>
        <w:t xml:space="preserve">г) (утратил силу в соответствии с </w:t>
      </w:r>
      <w:hyperlink w:history="1" r:id="rIdgv0r4nqpuhiseoihish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сентября 2021 года № 2021-П-12/51-1)</w:t>
      </w:r>
    </w:p>
    <w:p>
      <w:pPr>
        <w:spacing w:after="120"/>
        <w:jc w:val="both"/>
      </w:pPr>
      <w:r>
        <w:rPr>
          <w:rFonts w:ascii="Arial" w:cs="Arial" w:eastAsia="Arial" w:hAnsi="Arial"/>
          <w:sz w:val="24"/>
          <w:szCs w:val="24"/>
        </w:rPr>
        <w:t xml:space="preserve">5) Категория 5 (степень кредитного риска - 100%):</w:t>
      </w:r>
    </w:p>
    <w:p>
      <w:pPr>
        <w:spacing w:after="120"/>
        <w:jc w:val="both"/>
      </w:pPr>
      <w:r>
        <w:rPr>
          <w:rFonts w:ascii="Arial" w:cs="Arial" w:eastAsia="Arial" w:hAnsi="Arial"/>
          <w:sz w:val="24"/>
          <w:szCs w:val="24"/>
        </w:rPr>
        <w:t xml:space="preserve">а) банкноты и монеты, не вошедшие в категорию 1;</w:t>
      </w:r>
    </w:p>
    <w:p>
      <w:pPr>
        <w:spacing w:after="120"/>
        <w:jc w:val="both"/>
      </w:pPr>
      <w:r>
        <w:rPr>
          <w:rFonts w:ascii="Arial" w:cs="Arial" w:eastAsia="Arial" w:hAnsi="Arial"/>
          <w:sz w:val="24"/>
          <w:szCs w:val="24"/>
        </w:rPr>
        <w:t xml:space="preserve">б) требования к правительствам и центральным банкам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 (ценные бумаги, выпущенные правительствами этих государств и другие требования);</w:t>
      </w:r>
    </w:p>
    <w:p>
      <w:pPr>
        <w:spacing w:after="120"/>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w:t>
      </w:r>
    </w:p>
    <w:p>
      <w:pPr>
        <w:spacing w:after="120"/>
        <w:jc w:val="both"/>
      </w:pPr>
      <w:r>
        <w:rPr>
          <w:rFonts w:ascii="Arial" w:cs="Arial" w:eastAsia="Arial" w:hAnsi="Arial"/>
          <w:sz w:val="24"/>
          <w:szCs w:val="24"/>
        </w:rPr>
        <w:t xml:space="preserve">г)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являются аффилированными организациями по отношению к отчитывающемуся банку;</w:t>
      </w:r>
    </w:p>
    <w:p>
      <w:pPr>
        <w:spacing w:after="120"/>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w:t>
      </w:r>
    </w:p>
    <w:p>
      <w:pPr>
        <w:spacing w:after="120"/>
        <w:jc w:val="both"/>
      </w:pPr>
      <w:r>
        <w:rPr>
          <w:rFonts w:ascii="Arial" w:cs="Arial" w:eastAsia="Arial" w:hAnsi="Arial"/>
          <w:sz w:val="24"/>
          <w:szCs w:val="24"/>
        </w:rPr>
        <w:t xml:space="preserve">е) коммерческие, потребительские, ипотечные и прочие кредиты, кроме указанных в категории 4;</w:t>
      </w:r>
    </w:p>
    <w:p>
      <w:pPr>
        <w:spacing w:after="120"/>
        <w:jc w:val="both"/>
      </w:pPr>
      <w:r>
        <w:rPr>
          <w:rFonts w:ascii="Arial" w:cs="Arial" w:eastAsia="Arial" w:hAnsi="Arial"/>
          <w:sz w:val="24"/>
          <w:szCs w:val="24"/>
        </w:rPr>
        <w:t xml:space="preserve">ж) основные средства и прочая собственность банка;</w:t>
      </w:r>
    </w:p>
    <w:p>
      <w:pPr>
        <w:spacing w:after="120"/>
        <w:jc w:val="both"/>
      </w:pPr>
      <w:r>
        <w:rPr>
          <w:rFonts w:ascii="Arial" w:cs="Arial" w:eastAsia="Arial" w:hAnsi="Arial"/>
          <w:sz w:val="24"/>
          <w:szCs w:val="24"/>
        </w:rPr>
        <w:t xml:space="preserve">з) инвестиции и финансовое участие за минусом вычетов, предусмотренных подпунктом "б" пункта 3.9;</w:t>
      </w:r>
    </w:p>
    <w:p>
      <w:pPr>
        <w:spacing w:after="120"/>
        <w:jc w:val="both"/>
      </w:pPr>
      <w:r>
        <w:rPr>
          <w:rFonts w:ascii="Arial" w:cs="Arial" w:eastAsia="Arial" w:hAnsi="Arial"/>
          <w:sz w:val="24"/>
          <w:szCs w:val="24"/>
        </w:rPr>
        <w:t xml:space="preserve">и) все прочие активы, не вошедшие в категории 1, 2, 3, 4, 6 и 7.</w:t>
      </w:r>
    </w:p>
    <w:p>
      <w:pPr>
        <w:spacing w:after="120"/>
        <w:jc w:val="both"/>
      </w:pPr>
      <w:r>
        <w:rPr>
          <w:rFonts w:ascii="Arial" w:cs="Arial" w:eastAsia="Arial" w:hAnsi="Arial"/>
          <w:sz w:val="24"/>
          <w:szCs w:val="24"/>
        </w:rPr>
        <w:t xml:space="preserve">6) Категория 6 (степень кредитного риска - 150%):</w:t>
      </w:r>
    </w:p>
    <w:p>
      <w:pPr>
        <w:spacing w:after="120"/>
        <w:jc w:val="both"/>
      </w:pPr>
      <w:r>
        <w:rPr>
          <w:rFonts w:ascii="Arial" w:cs="Arial" w:eastAsia="Arial" w:hAnsi="Arial"/>
          <w:sz w:val="24"/>
          <w:szCs w:val="24"/>
        </w:rPr>
        <w:t xml:space="preserve">- коммерческие, потребительские, ипотечные и прочие кредиты в иностранной валюте, за исключением кредитов в валюте государств-членов ЕАЭС, а также кроме указанных в категории 4.</w:t>
      </w:r>
    </w:p>
    <w:p>
      <w:pPr>
        <w:spacing w:after="120"/>
        <w:jc w:val="both"/>
      </w:pPr>
      <w:r>
        <w:rPr>
          <w:rFonts w:ascii="Arial" w:cs="Arial" w:eastAsia="Arial" w:hAnsi="Arial"/>
          <w:sz w:val="24"/>
          <w:szCs w:val="24"/>
        </w:rPr>
        <w:t xml:space="preserve">7) Категория 7 (степень кредитного риска - 200%):</w:t>
      </w:r>
    </w:p>
    <w:p>
      <w:pPr>
        <w:spacing w:after="120"/>
        <w:jc w:val="both"/>
      </w:pPr>
      <w:r>
        <w:rPr>
          <w:rFonts w:ascii="Arial" w:cs="Arial" w:eastAsia="Arial" w:hAnsi="Arial"/>
          <w:sz w:val="24"/>
          <w:szCs w:val="24"/>
        </w:rPr>
        <w:t xml:space="preserve">- кредиты физическим лицам и индивидуальным предпринимателям в национальной валюте с номинальной годовой ставкой 30% и более на момент выдачи кредитов.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vopv-oqtgwn375icnr4eq">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 26 декабря 2018 года № 2018-П-12/58-10, 15 апреля 2019 года № 2019-П-12/20-2, </w:t>
      </w:r>
      <w:hyperlink w:history="1" r:id="rIdezanuf8tcyloibs10i0vz">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Вложения в ценные бумаги взвешиваются за минусом премии (дисконта) и нереализованной прибыли (убытков).</w:t>
      </w:r>
    </w:p>
    <w:p>
      <w:pPr>
        <w:spacing w:after="120"/>
        <w:jc w:val="both"/>
      </w:pPr>
      <w:r>
        <w:rPr>
          <w:rFonts w:ascii="Arial" w:cs="Arial" w:eastAsia="Arial" w:hAnsi="Arial"/>
          <w:sz w:val="24"/>
          <w:szCs w:val="24"/>
        </w:rPr>
        <w:t xml:space="preserve">4.5. Суммы начисленных процентов к получению взвешиваются по степеням риска аналогичным тем, по которым взвешиваются сами активы. Например, кредиты отдельным лицам для покупки или строительства жилья на одну семью и гарантированные первыми закладными по такому жилью, взвешиваются по степени кредитного риска 50%. Следовательно, проценты к получению по данным кредитам будут также взвешиваться по степени кредитного риска 50%.</w:t>
      </w:r>
    </w:p>
    <w:p>
      <w:pPr>
        <w:spacing w:after="120"/>
        <w:jc w:val="both"/>
      </w:pPr>
      <w:r>
        <w:rPr>
          <w:rFonts w:ascii="Arial" w:cs="Arial" w:eastAsia="Arial" w:hAnsi="Arial"/>
          <w:sz w:val="24"/>
          <w:szCs w:val="24"/>
        </w:rPr>
        <w:t xml:space="preserve">5. Оценка забалансовых обязательств по степени риска</w:t>
      </w:r>
    </w:p>
    <w:p>
      <w:pPr>
        <w:spacing w:after="120"/>
        <w:jc w:val="both"/>
      </w:pPr>
      <w:r>
        <w:rPr>
          <w:rFonts w:ascii="Arial" w:cs="Arial" w:eastAsia="Arial" w:hAnsi="Arial"/>
          <w:sz w:val="24"/>
          <w:szCs w:val="24"/>
        </w:rPr>
        <w:t xml:space="preserve">5.1. Забалансовые обязательства также сопряжены с понятием кредитного риска при наличии определенных условий (см. пункт 4.1). Так, например, выдача банком гарантий от имени клиента может, при наступлении определенных событий, трансформироваться в обыкновенную выдачу кредита.</w:t>
      </w:r>
    </w:p>
    <w:p>
      <w:pPr>
        <w:spacing w:after="120"/>
        <w:jc w:val="both"/>
      </w:pPr>
      <w:r>
        <w:rPr>
          <w:rFonts w:ascii="Arial" w:cs="Arial" w:eastAsia="Arial" w:hAnsi="Arial"/>
          <w:sz w:val="24"/>
          <w:szCs w:val="24"/>
        </w:rPr>
        <w:t xml:space="preserve">5.2. Размер риска по забалансовым обязательствам определяется путем умножения номинальной стоимости забалансовых обязательств на соответствующий процентный размер фактора кредитной конверсии. Полученные значения являются балансовыми эквивалентами забалансовых обязательств и далее взвешиваются в зависимости от степени кредитного риска согласно разделу 4.</w:t>
      </w:r>
    </w:p>
    <w:p>
      <w:pPr>
        <w:spacing w:after="120"/>
        <w:jc w:val="both"/>
      </w:pPr>
      <w:r>
        <w:rPr>
          <w:rFonts w:ascii="Arial" w:cs="Arial" w:eastAsia="Arial" w:hAnsi="Arial"/>
          <w:sz w:val="24"/>
          <w:szCs w:val="24"/>
        </w:rPr>
        <w:t xml:space="preserve">5.3. Настоящей инструкцией определяются следующие процентные размеры факторов кредитной конверсии для забалансовых обязательств:</w:t>
      </w:r>
    </w:p>
    <w:p>
      <w:pPr>
        <w:spacing w:after="120"/>
        <w:jc w:val="both"/>
      </w:pPr>
      <w:r>
        <w:rPr>
          <w:rFonts w:ascii="Arial" w:cs="Arial" w:eastAsia="Arial" w:hAnsi="Arial"/>
          <w:sz w:val="24"/>
          <w:szCs w:val="24"/>
        </w:rPr>
        <w:t xml:space="preserve">Средний риск (фактор кредитной конверсии - 50%):</w:t>
      </w:r>
    </w:p>
    <w:p>
      <w:pPr>
        <w:spacing w:after="120"/>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w:t>
      </w:r>
    </w:p>
    <w:p>
      <w:pPr>
        <w:spacing w:after="120"/>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w:t>
      </w:r>
    </w:p>
    <w:p>
      <w:pPr>
        <w:spacing w:after="120"/>
        <w:jc w:val="both"/>
      </w:pPr>
      <w:r>
        <w:rPr>
          <w:rFonts w:ascii="Arial" w:cs="Arial" w:eastAsia="Arial" w:hAnsi="Arial"/>
          <w:sz w:val="24"/>
          <w:szCs w:val="24"/>
        </w:rPr>
        <w:t xml:space="preserve">Полный риск (фактор кредитной конверсии - 100%):</w:t>
      </w:r>
    </w:p>
    <w:p>
      <w:pPr>
        <w:spacing w:after="120"/>
        <w:jc w:val="both"/>
      </w:pPr>
      <w:r>
        <w:rPr>
          <w:rFonts w:ascii="Arial" w:cs="Arial" w:eastAsia="Arial" w:hAnsi="Arial"/>
          <w:sz w:val="24"/>
          <w:szCs w:val="24"/>
        </w:rPr>
        <w:t xml:space="preserve">а) обязательства на выдачу кредитов;</w:t>
      </w:r>
    </w:p>
    <w:p>
      <w:pPr>
        <w:spacing w:after="120"/>
        <w:jc w:val="both"/>
      </w:pPr>
      <w:r>
        <w:rPr>
          <w:rFonts w:ascii="Arial" w:cs="Arial" w:eastAsia="Arial" w:hAnsi="Arial"/>
          <w:sz w:val="24"/>
          <w:szCs w:val="24"/>
        </w:rPr>
        <w:t xml:space="preserve">б) прямые кредитные заменители (например, общие гарантии по кредитам,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контрактному соглашению или подобным образом;</w:t>
      </w:r>
    </w:p>
    <w:p>
      <w:pPr>
        <w:spacing w:after="120"/>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w:t>
      </w:r>
    </w:p>
    <w:p>
      <w:pPr>
        <w:spacing w:after="120"/>
        <w:jc w:val="both"/>
      </w:pPr>
      <w:r>
        <w:rPr>
          <w:rFonts w:ascii="Arial" w:cs="Arial" w:eastAsia="Arial" w:hAnsi="Arial"/>
          <w:sz w:val="24"/>
          <w:szCs w:val="24"/>
        </w:rPr>
        <w:t xml:space="preserve">г) обязательства по покупке активов;</w:t>
      </w:r>
    </w:p>
    <w:p>
      <w:pPr>
        <w:spacing w:after="120"/>
        <w:jc w:val="both"/>
      </w:pPr>
      <w:r>
        <w:rPr>
          <w:rFonts w:ascii="Arial" w:cs="Arial" w:eastAsia="Arial" w:hAnsi="Arial"/>
          <w:sz w:val="24"/>
          <w:szCs w:val="24"/>
        </w:rPr>
        <w:t xml:space="preserve">д) все прочие забалансовые обязательства, не вошедшие в предыдущие категории.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ibcsprnth60bipzoftix">
        <w:r>
          <w:rPr>
            <w:rFonts w:ascii="Arial" w:cs="Arial" w:eastAsia="Arial" w:hAnsi="Arial"/>
            <w:color w:val="1D4ED8"/>
            <w:sz w:val="24"/>
            <w:szCs w:val="24"/>
            <w:u w:val="single"/>
          </w:rPr>
          <w:t xml:space="preserve">15 июня 2016 года № 25/1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 К забалансовым обязательствам, по которым банк имеет право безусловного отзыва/аннулирования в любое время без предварительного уведомления клиента, применяется фактор кредитной конверсии в размере 10%.</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wai2rzmtlp7oeci43arbp">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Забалансовые обязательства, связанные с валютными курсами и процентными ставками (например, форвардные контракты, процентные свопы, опционы и аналогичные инструменты) требуют особого внимания. При этом банки подвергают себя кредитному риску не на полную номинальную стоимость таких обязательств, а лишь на потенциальную стоимость замещения потока денежных средств (по контрактам с положительной стоимостью) в случае невыполнения партнерами по контрактам своих обязательств. Размеры кредитных эквивалентов зависят от сроков контрактов и от колебания процентных ставок и валютных курсов, лежащих в основе тех или иных финансовых инструментов.</w:t>
      </w:r>
    </w:p>
    <w:p>
      <w:pPr>
        <w:spacing w:after="120"/>
        <w:jc w:val="both"/>
      </w:pPr>
      <w:r>
        <w:rPr>
          <w:rFonts w:ascii="Arial" w:cs="Arial" w:eastAsia="Arial" w:hAnsi="Arial"/>
          <w:sz w:val="24"/>
          <w:szCs w:val="24"/>
        </w:rPr>
        <w:t xml:space="preserve">На данном этапе, для всех контрактов, связанных с валютными курсами и процентными ставками, банки могут использовать метод, согласно которому потенциальный риск рассчитывается по каждому типу контрактов, независимо от того, какова на данный момент его рыночная стоимость. Для расчета размера кредитного эквивалента необходимо умножить базовую (номинальную) стоимость каждого инструмента на один из конверсионных коэффициентов (фактор кредитной конверсии), установленных в зависимости от характера инструмента и срока его действия.</w:t>
      </w:r>
    </w:p>
    <w:p>
      <w:pPr>
        <w:spacing w:after="120"/>
        <w:jc w:val="both"/>
      </w:pPr>
      <w:r>
        <w:rPr>
          <w:rFonts w:ascii="Arial" w:cs="Arial" w:eastAsia="Arial" w:hAnsi="Arial"/>
          <w:sz w:val="24"/>
          <w:szCs w:val="24"/>
        </w:rPr>
        <w:t xml:space="preserve">5.5. Применительно к сделкам с золотом, факторы кредитной конверсии аналогичны тем, которые применяются в отношении контрактов, связанных с валютными курсами.</w:t>
      </w:r>
    </w:p>
    <w:p>
      <w:pPr>
        <w:spacing w:after="120"/>
        <w:jc w:val="both"/>
      </w:pPr>
      <w:r>
        <w:rPr>
          <w:rFonts w:ascii="Arial" w:cs="Arial" w:eastAsia="Arial" w:hAnsi="Arial"/>
          <w:sz w:val="24"/>
          <w:szCs w:val="24"/>
        </w:rPr>
        <w:t xml:space="preserve">5.6. Настоящей инструкцией определяются следующие процентные размеры факторов кредитной конверсии для забалансовых обязательств, связанных с валютными курсами и процентными ставками: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6"/>
        <w:gridCol w:w="3281"/>
        <w:gridCol w:w="3031"/>
      </w:tblGrid>
      <w:tr>
        <w:tc>
          <w:tcPr>
            <w:tcW w:type="dxa" w:w="38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действия контрактов</w:t>
            </w:r>
          </w:p>
        </w:tc>
        <w:tc>
          <w:tcPr>
            <w:tcW w:type="dxa" w:w="3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контракты</w:t>
            </w:r>
          </w:p>
        </w:tc>
        <w:tc>
          <w:tcPr>
            <w:tcW w:type="dxa" w:w="30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контракты</w:t>
            </w:r>
          </w:p>
        </w:tc>
      </w:tr>
      <w:tr>
        <w:tc>
          <w:tcPr>
            <w:tcW w:type="dxa" w:w="38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Менее 1 года</w:t>
            </w:r>
          </w:p>
        </w:tc>
        <w:tc>
          <w:tcPr>
            <w:tcW w:type="dxa" w:w="3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38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 года до 2 лет</w:t>
            </w:r>
          </w:p>
        </w:tc>
        <w:tc>
          <w:tcPr>
            <w:tcW w:type="dxa" w:w="3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38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6. Порядок и сроки представления отчетности о выполнении стандартов достаточности (адекватности) капитала</w:t>
      </w:r>
    </w:p>
    <w:p>
      <w:pPr>
        <w:spacing w:after="120"/>
        <w:jc w:val="both"/>
      </w:pPr>
      <w:r>
        <w:rPr>
          <w:rFonts w:ascii="Arial" w:cs="Arial" w:eastAsia="Arial" w:hAnsi="Arial"/>
          <w:sz w:val="24"/>
          <w:szCs w:val="24"/>
        </w:rPr>
        <w:t xml:space="preserve">6.1. Сведения о выполнении стандартов достаточности (адекватности) капитала и их расчет представляются банками ежемесячно в составе Периодического регулятивного банковского отчета.</w:t>
      </w:r>
    </w:p>
    <w:p>
      <w:pPr>
        <w:spacing w:after="120"/>
        <w:jc w:val="both"/>
      </w:pPr>
      <w:r>
        <w:rPr>
          <w:rFonts w:ascii="Arial" w:cs="Arial" w:eastAsia="Arial" w:hAnsi="Arial"/>
          <w:sz w:val="24"/>
          <w:szCs w:val="24"/>
        </w:rPr>
        <w:t xml:space="preserve">(В редакции постановления Правления Нацбанка КР от 27 декабря 2019 года № 2019-П-12/68-2)</w:t>
      </w:r>
    </w:p>
    <w:p>
      <w:pPr>
        <w:spacing w:after="120"/>
        <w:jc w:val="both"/>
      </w:pPr>
      <w:r>
        <w:rPr>
          <w:rFonts w:ascii="Arial" w:cs="Arial" w:eastAsia="Arial" w:hAnsi="Arial"/>
          <w:sz w:val="24"/>
          <w:szCs w:val="24"/>
        </w:rPr>
        <w:t xml:space="preserve">7. Порядок заполнения отчетности о выполнении стандартов достаточности (адекватности) капитала</w:t>
      </w:r>
    </w:p>
    <w:p>
      <w:pPr>
        <w:spacing w:after="120"/>
        <w:jc w:val="both"/>
      </w:pPr>
      <w:r>
        <w:rPr>
          <w:rFonts w:ascii="Arial" w:cs="Arial" w:eastAsia="Arial" w:hAnsi="Arial"/>
          <w:sz w:val="24"/>
          <w:szCs w:val="24"/>
        </w:rPr>
        <w:t xml:space="preserve">7.1. Отчетность о выполнении стандартов достаточности (адекватности) капитала составляется на основе бухгалтерского баланса банка согласно Плану счетов бухгалтерского учета в коммерческих банках и финансово-кредитных организациях, лицензируемых Национальным банком.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h6e8mutgvpcogmy2hjgyp">
        <w:r>
          <w:rPr>
            <w:rFonts w:ascii="Arial" w:cs="Arial" w:eastAsia="Arial" w:hAnsi="Arial"/>
            <w:color w:val="1D4ED8"/>
            <w:sz w:val="24"/>
            <w:szCs w:val="24"/>
            <w:u w:val="single"/>
          </w:rPr>
          <w:t xml:space="preserve">15 июня 2017 года № 2017-П-12/25-5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Статьи отчетности делятся на укрупненные и детализированные (например, укрупненная статья 20 делится на две детализированные 20.1 и 20.2). В детализированных статьях указываются значения балансовых активов (забалансовых обязательств), в зависимости от их принадлежности к той или иной категории кредитного риска. Значения, указываемые в укрупненных статьях, являются суммами значений в детализированных статьях.</w:t>
      </w:r>
    </w:p>
    <w:p>
      <w:pPr>
        <w:spacing w:after="120"/>
        <w:jc w:val="both"/>
      </w:pPr>
      <w:r>
        <w:rPr>
          <w:rFonts w:ascii="Arial" w:cs="Arial" w:eastAsia="Arial" w:hAnsi="Arial"/>
          <w:sz w:val="24"/>
          <w:szCs w:val="24"/>
        </w:rPr>
        <w:t xml:space="preserve">7.3. Наименования большинства статей отчетности полностью соответствуют наименованиям отдельных счетов или групп счетов Плана счетов бухгалтерского учета в коммерческих банках и финансово-кредитных организациях, лицензируемых Национальным банком. Однако заполнение отдельных статей имеет некоторые особенности. Так, в каждой статье части "Портфель ценных бумаг" (статьи 130-230) указывается номинальная стоимость соответствующего типа ценных бумаг с учетом дисконта/премий и корректировки справедливой стоимости, независимо от их классификации. Например, в статье 130 "Ценные бумаги, выпущенные Правительством Кыргызской Республики и/или Национальным банком" указывается сумма номинальной стоимости ценных бумаг, выпущенных Правительством Кыргызской Республики и/или Национальным банком с учетом дисконта/премий и корректировки справедливой стоимости, классифицируемых, как ценные бумаги, оцениваемые по амортизированной стоимости; ценные бумаги, оцениваемые по справедливой стоимости через прибыль и убыток; ценные бумаги, оцениваемые по справедливой стоимости через прочий совокупный доход.</w:t>
      </w:r>
    </w:p>
    <w:p>
      <w:pPr>
        <w:spacing w:after="120"/>
        <w:jc w:val="both"/>
      </w:pPr>
      <w:r>
        <w:rPr>
          <w:rFonts w:ascii="Arial" w:cs="Arial" w:eastAsia="Arial" w:hAnsi="Arial"/>
          <w:sz w:val="24"/>
          <w:szCs w:val="24"/>
        </w:rPr>
        <w:t xml:space="preserve">В каждой статье части "Кредиты и лизинга" (статьи 240-360) указывается сумма ссудной задолженности соответствующего вида кредитов за вычетом дисконта.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fhgaxkjzdzbop3rgmfse_">
        <w:r>
          <w:rPr>
            <w:rFonts w:ascii="Arial" w:cs="Arial" w:eastAsia="Arial" w:hAnsi="Arial"/>
            <w:color w:val="1D4ED8"/>
            <w:sz w:val="24"/>
            <w:szCs w:val="24"/>
            <w:u w:val="single"/>
          </w:rPr>
          <w:t xml:space="preserve">23 октября 2004 года N 26/3</w:t>
        </w:r>
      </w:hyperlink>
      <w:r>
        <w:rPr>
          <w:rFonts w:ascii="Arial" w:cs="Arial" w:eastAsia="Arial" w:hAnsi="Arial"/>
          <w:sz w:val="24"/>
          <w:szCs w:val="24"/>
        </w:rPr>
        <w:t xml:space="preserve">, </w:t>
      </w:r>
      <w:hyperlink w:history="1" r:id="rId4p4cqlwokz0nyjy2kpwfr">
        <w:r>
          <w:rPr>
            <w:rFonts w:ascii="Arial" w:cs="Arial" w:eastAsia="Arial" w:hAnsi="Arial"/>
            <w:color w:val="1D4ED8"/>
            <w:sz w:val="24"/>
            <w:szCs w:val="24"/>
            <w:u w:val="single"/>
          </w:rPr>
          <w:t xml:space="preserve">15 июня 2017 года № 2017-П-12/25-5</w:t>
        </w:r>
      </w:hyperlink>
      <w:r>
        <w:rPr>
          <w:rFonts w:ascii="Arial" w:cs="Arial" w:eastAsia="Arial" w:hAnsi="Arial"/>
          <w:sz w:val="24"/>
          <w:szCs w:val="24"/>
        </w:rPr>
        <w:t xml:space="preserve">, </w:t>
      </w:r>
      <w:hyperlink w:history="1" r:id="rIdf0ioaxicrpokuelh0xm6d">
        <w:r>
          <w:rPr>
            <w:rFonts w:ascii="Arial" w:cs="Arial" w:eastAsia="Arial" w:hAnsi="Arial"/>
            <w:color w:val="1D4ED8"/>
            <w:sz w:val="24"/>
            <w:szCs w:val="24"/>
            <w:u w:val="single"/>
          </w:rPr>
          <w:t xml:space="preserve">23 марта 2022 года № 2022-П-12/17-4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Дивиденды</w:t>
      </w:r>
    </w:p>
    <w:p>
      <w:pPr>
        <w:spacing w:after="120"/>
        <w:jc w:val="both"/>
      </w:pPr>
      <w:r>
        <w:rPr>
          <w:rFonts w:ascii="Arial" w:cs="Arial" w:eastAsia="Arial" w:hAnsi="Arial"/>
          <w:sz w:val="24"/>
          <w:szCs w:val="24"/>
        </w:rPr>
        <w:t xml:space="preserve">8.1. Дивиденды - это часть чистой прибыли банка, распределяемая между акционерами согласно законодательству.</w:t>
      </w:r>
    </w:p>
    <w:p>
      <w:pPr>
        <w:spacing w:after="120"/>
        <w:jc w:val="both"/>
      </w:pPr>
      <w:r>
        <w:rPr>
          <w:rFonts w:ascii="Arial" w:cs="Arial" w:eastAsia="Arial" w:hAnsi="Arial"/>
          <w:sz w:val="24"/>
          <w:szCs w:val="24"/>
        </w:rPr>
        <w:t xml:space="preserve">Дивиденды Государственного банка развития Кыргызской Республики распределяются в порядке, предусмотренном </w:t>
      </w:r>
      <w:hyperlink w:history="1" r:id="rIdcdhhgm89_ozdxm5n-tac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jwuoqrn0wrbbjwvwvhks">
        <w:r>
          <w:rPr>
            <w:rFonts w:ascii="Arial" w:cs="Arial" w:eastAsia="Arial" w:hAnsi="Arial"/>
            <w:color w:val="1D4ED8"/>
            <w:sz w:val="24"/>
            <w:szCs w:val="24"/>
            <w:u w:val="single"/>
          </w:rPr>
          <w:t xml:space="preserve">16 ноября 2012 года N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8.1-1. Для расчета суммы дивидендов банк должен использовать наименьшую из величин чистой прибыли, рассчитанных в соответствии с МСФО и пруденциальными требованиями.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k4cltjvympiuzugzwjx5">
        <w:r>
          <w:rPr>
            <w:rFonts w:ascii="Arial" w:cs="Arial" w:eastAsia="Arial" w:hAnsi="Arial"/>
            <w:color w:val="1D4ED8"/>
            <w:sz w:val="24"/>
            <w:szCs w:val="24"/>
            <w:u w:val="single"/>
          </w:rPr>
          <w:t xml:space="preserve">23 марта 2022 года № 2022-П-12/17-4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Правление банка (либо соответствующий орган) на основании аудиторского заключения должно представить Совету Директоров банка и собранию акционеров для рассмотрения и соответствующей оценки анализ, как минимум, следующих факторов:</w:t>
      </w:r>
    </w:p>
    <w:p>
      <w:pPr>
        <w:spacing w:after="120"/>
        <w:jc w:val="both"/>
      </w:pPr>
      <w:r>
        <w:rPr>
          <w:rFonts w:ascii="Arial" w:cs="Arial" w:eastAsia="Arial" w:hAnsi="Arial"/>
          <w:sz w:val="24"/>
          <w:szCs w:val="24"/>
        </w:rPr>
        <w:t xml:space="preserve">а) достаточность (адекватность) капитала и тенденции его изменения;</w:t>
      </w:r>
    </w:p>
    <w:p>
      <w:pPr>
        <w:spacing w:after="120"/>
        <w:jc w:val="both"/>
      </w:pPr>
      <w:r>
        <w:rPr>
          <w:rFonts w:ascii="Arial" w:cs="Arial" w:eastAsia="Arial" w:hAnsi="Arial"/>
          <w:sz w:val="24"/>
          <w:szCs w:val="24"/>
        </w:rPr>
        <w:t xml:space="preserve">б) выполнение экономических нормативов, установленных Национальным банком;</w:t>
      </w:r>
    </w:p>
    <w:p>
      <w:pPr>
        <w:spacing w:after="120"/>
        <w:jc w:val="both"/>
      </w:pPr>
      <w:r>
        <w:rPr>
          <w:rFonts w:ascii="Arial" w:cs="Arial" w:eastAsia="Arial" w:hAnsi="Arial"/>
          <w:sz w:val="24"/>
          <w:szCs w:val="24"/>
        </w:rPr>
        <w:t xml:space="preserve">в) номинальный и реальный уровни доходов банка (с учетом уровня инфляции) и тенденции их изменения;</w:t>
      </w:r>
    </w:p>
    <w:p>
      <w:pPr>
        <w:spacing w:after="120"/>
        <w:jc w:val="both"/>
      </w:pPr>
      <w:r>
        <w:rPr>
          <w:rFonts w:ascii="Arial" w:cs="Arial" w:eastAsia="Arial" w:hAnsi="Arial"/>
          <w:sz w:val="24"/>
          <w:szCs w:val="24"/>
        </w:rPr>
        <w:t xml:space="preserve">г) перспективы роста банка;</w:t>
      </w:r>
    </w:p>
    <w:p>
      <w:pPr>
        <w:spacing w:after="120"/>
        <w:jc w:val="both"/>
      </w:pPr>
      <w:r>
        <w:rPr>
          <w:rFonts w:ascii="Arial" w:cs="Arial" w:eastAsia="Arial" w:hAnsi="Arial"/>
          <w:sz w:val="24"/>
          <w:szCs w:val="24"/>
        </w:rPr>
        <w:t xml:space="preserve">д) влияние экономических условий и уровня инфляции.</w:t>
      </w:r>
    </w:p>
    <w:p>
      <w:pPr>
        <w:spacing w:after="120"/>
        <w:jc w:val="both"/>
      </w:pPr>
      <w:r>
        <w:rPr>
          <w:rFonts w:ascii="Arial" w:cs="Arial" w:eastAsia="Arial" w:hAnsi="Arial"/>
          <w:sz w:val="24"/>
          <w:szCs w:val="24"/>
        </w:rPr>
        <w:t xml:space="preserve">8.3. Дивиденды по акциям начисляются и выплачиваются по итогам финансового года.</w:t>
      </w:r>
    </w:p>
    <w:p>
      <w:pPr>
        <w:spacing w:after="120"/>
        <w:jc w:val="both"/>
      </w:pPr>
      <w:r>
        <w:rPr>
          <w:rFonts w:ascii="Arial" w:cs="Arial" w:eastAsia="Arial" w:hAnsi="Arial"/>
          <w:sz w:val="24"/>
          <w:szCs w:val="24"/>
        </w:rPr>
        <w:t xml:space="preserve">Примечание: Финансовым годом считается период с 1 января по 31 декабря включительно.</w:t>
      </w:r>
    </w:p>
    <w:p>
      <w:pPr>
        <w:spacing w:after="120"/>
        <w:jc w:val="both"/>
      </w:pPr>
      <w:r>
        <w:rPr>
          <w:rFonts w:ascii="Arial" w:cs="Arial" w:eastAsia="Arial" w:hAnsi="Arial"/>
          <w:sz w:val="24"/>
          <w:szCs w:val="24"/>
        </w:rPr>
        <w:t xml:space="preserve">(В редакции постановления Правления Нацбанка КР от 26 апреля 2017 года № 17/13)</w:t>
      </w:r>
    </w:p>
    <w:p>
      <w:pPr>
        <w:spacing w:after="120"/>
        <w:jc w:val="both"/>
      </w:pPr>
      <w:r>
        <w:rPr>
          <w:rFonts w:ascii="Arial" w:cs="Arial" w:eastAsia="Arial" w:hAnsi="Arial"/>
          <w:sz w:val="24"/>
          <w:szCs w:val="24"/>
        </w:rPr>
        <w:t xml:space="preserve">8.4.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показатели чистой прибыли, рассчитанные в соответствии с МСФО и пруденциальными требованиями, и расчеты по соблюдению экономических нормативов, а также индекса "буфер капитала", рассчитанного с учетом планируемой выплаты суммы дивидендов.</w:t>
      </w:r>
    </w:p>
    <w:p>
      <w:pPr>
        <w:spacing w:after="120"/>
        <w:jc w:val="both"/>
      </w:pPr>
      <w:r>
        <w:rPr>
          <w:rFonts w:ascii="Arial" w:cs="Arial" w:eastAsia="Arial" w:hAnsi="Arial"/>
          <w:sz w:val="24"/>
          <w:szCs w:val="24"/>
        </w:rPr>
        <w:t xml:space="preserve">В случае наличия угрозы стабильности банка, а также интересам кредиторов и вкладчиков, Национальный банк может запретить либо установить ограничения на выплату дивидендов, если:</w:t>
      </w:r>
    </w:p>
    <w:p>
      <w:pPr>
        <w:spacing w:after="120"/>
        <w:jc w:val="both"/>
      </w:pPr>
      <w:r>
        <w:rPr>
          <w:rFonts w:ascii="Arial" w:cs="Arial" w:eastAsia="Arial" w:hAnsi="Arial"/>
          <w:sz w:val="24"/>
          <w:szCs w:val="24"/>
        </w:rPr>
        <w:t xml:space="preserve">а) это приведет к нарушению экономических нормативов, установленных Национальным банком;</w:t>
      </w:r>
    </w:p>
    <w:p>
      <w:pPr>
        <w:spacing w:after="120"/>
        <w:jc w:val="both"/>
      </w:pPr>
      <w:r>
        <w:rPr>
          <w:rFonts w:ascii="Arial" w:cs="Arial" w:eastAsia="Arial" w:hAnsi="Arial"/>
          <w:sz w:val="24"/>
          <w:szCs w:val="24"/>
        </w:rPr>
        <w:t xml:space="preserve">б) значения коэффициентов адекватности капитала банка будут ниже минимальных пределов, установленных Национальным банком;</w:t>
      </w:r>
    </w:p>
    <w:p>
      <w:pPr>
        <w:spacing w:after="120"/>
        <w:jc w:val="both"/>
      </w:pPr>
      <w:r>
        <w:rPr>
          <w:rFonts w:ascii="Arial" w:cs="Arial" w:eastAsia="Arial" w:hAnsi="Arial"/>
          <w:sz w:val="24"/>
          <w:szCs w:val="24"/>
        </w:rPr>
        <w:t xml:space="preserve">в) индекс "буфер капитала", после выплаты дивидендов, будет ниже минимальных значений, установленных Национальным банком;</w:t>
      </w:r>
    </w:p>
    <w:p>
      <w:pPr>
        <w:spacing w:after="120"/>
        <w:jc w:val="both"/>
      </w:pPr>
      <w:r>
        <w:rPr>
          <w:rFonts w:ascii="Arial" w:cs="Arial" w:eastAsia="Arial" w:hAnsi="Arial"/>
          <w:sz w:val="24"/>
          <w:szCs w:val="24"/>
        </w:rPr>
        <w:t xml:space="preserve">г)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jc w:val="both"/>
      </w:pPr>
      <w:r>
        <w:rPr>
          <w:rFonts w:ascii="Arial" w:cs="Arial" w:eastAsia="Arial" w:hAnsi="Arial"/>
          <w:sz w:val="24"/>
          <w:szCs w:val="24"/>
        </w:rPr>
        <w:t xml:space="preserve">д) банк имеет непокрытые убытки за предыдущие годы и/или за отчетный год;</w:t>
      </w:r>
    </w:p>
    <w:p>
      <w:pPr>
        <w:spacing w:after="120"/>
        <w:jc w:val="both"/>
      </w:pPr>
      <w:r>
        <w:rPr>
          <w:rFonts w:ascii="Arial" w:cs="Arial" w:eastAsia="Arial" w:hAnsi="Arial"/>
          <w:sz w:val="24"/>
          <w:szCs w:val="24"/>
        </w:rPr>
        <w:t xml:space="preserve">е) это приведет к ухудшению финансового состояния банка;</w:t>
      </w:r>
    </w:p>
    <w:p>
      <w:pPr>
        <w:spacing w:after="120"/>
        <w:jc w:val="both"/>
      </w:pPr>
      <w:r>
        <w:rPr>
          <w:rFonts w:ascii="Arial" w:cs="Arial" w:eastAsia="Arial" w:hAnsi="Arial"/>
          <w:sz w:val="24"/>
          <w:szCs w:val="24"/>
        </w:rPr>
        <w:t xml:space="preserve">ж) в других случаях, предусмотренных законами Кыргызской Республики.</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5gc7tacj4mxeqlaij6ak9">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 23 марта 2022 года № 2022-П-12/17-4)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(Утратили силу в соответствии с постановлением Правления Нацбанка КР от 26 апреля 2017 года № 17/13)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Инструкции по определению стандартов достаточности (адекватности) капитала коммерческих банков Кыргызской Республики, утвержденной постановлением Правления Национального банка от 21 июля 2004 года N 18/2</w:t>
      </w:r>
    </w:p>
    <w:p>
      <w:pPr>
        <w:spacing w:after="120"/>
        <w:jc w:val="both"/>
      </w:pPr>
      <w:r>
        <w:rPr>
          <w:rFonts w:ascii="Arial" w:cs="Arial" w:eastAsia="Arial" w:hAnsi="Arial"/>
          <w:sz w:val="24"/>
          <w:szCs w:val="24"/>
        </w:rPr>
        <w:t xml:space="preserve">(В редакции постановлений Правления Нацбанка КР от 23 октября 2004 года N 26/3, </w:t>
      </w:r>
      <w:hyperlink w:history="1" r:id="rIdfalwvpiltj3qi3ucxjuku">
        <w:r>
          <w:rPr>
            <w:rFonts w:ascii="Arial" w:cs="Arial" w:eastAsia="Arial" w:hAnsi="Arial"/>
            <w:color w:val="1D4ED8"/>
            <w:sz w:val="24"/>
            <w:szCs w:val="24"/>
            <w:u w:val="single"/>
          </w:rPr>
          <w:t xml:space="preserve">15 июня 2016 года № 25/</w:t>
        </w:r>
      </w:hyperlink>
      <w:r>
        <w:rPr>
          <w:rFonts w:ascii="Arial" w:cs="Arial" w:eastAsia="Arial" w:hAnsi="Arial"/>
          <w:sz w:val="24"/>
          <w:szCs w:val="24"/>
        </w:rPr>
        <w:t xml:space="preserve">1, </w:t>
      </w:r>
      <w:hyperlink w:history="1" r:id="rIduznwrbqk2vzoqw929mbwj">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 </w:t>
      </w:r>
      <w:hyperlink w:history="1" r:id="rIdzonkjke5rlp1moe2racfv">
        <w:r>
          <w:rPr>
            <w:rFonts w:ascii="Arial" w:cs="Arial" w:eastAsia="Arial" w:hAnsi="Arial"/>
            <w:color w:val="1D4ED8"/>
            <w:sz w:val="24"/>
            <w:szCs w:val="24"/>
            <w:u w:val="single"/>
          </w:rPr>
          <w:t xml:space="preserve">10 апреля 2019 года № 2019-П-12/19-3</w:t>
        </w:r>
      </w:hyperlink>
      <w:r>
        <w:rPr>
          <w:rFonts w:ascii="Arial" w:cs="Arial" w:eastAsia="Arial" w:hAnsi="Arial"/>
          <w:sz w:val="24"/>
          <w:szCs w:val="24"/>
        </w:rPr>
        <w:t xml:space="preserve">, 28 июня 2019 года № 2019-П-12/34-3, 23 декабря 2020 года № 2020-П-12/73-10, </w:t>
      </w:r>
      <w:hyperlink w:history="1" r:id="rIdxiqppak6rwiwqyrsi2tlf">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 </w:t>
      </w:r>
      <w:hyperlink w:history="1" r:id="rIdcowqjhkpjiwckwr9ggo6_">
        <w:r>
          <w:rPr>
            <w:rFonts w:ascii="Arial" w:cs="Arial" w:eastAsia="Arial" w:hAnsi="Arial"/>
            <w:color w:val="1D4ED8"/>
            <w:sz w:val="24"/>
            <w:szCs w:val="24"/>
            <w:u w:val="single"/>
          </w:rPr>
          <w:t xml:space="preserve">15 декабря 2021 года № 2021-П-12/70-3</w:t>
        </w:r>
      </w:hyperlink>
      <w:r>
        <w:rPr>
          <w:rFonts w:ascii="Arial" w:cs="Arial" w:eastAsia="Arial" w:hAnsi="Arial"/>
          <w:sz w:val="24"/>
          <w:szCs w:val="24"/>
        </w:rPr>
        <w:t xml:space="preserve">, </w:t>
      </w:r>
      <w:hyperlink w:history="1" r:id="rIdronngsy_x6phfkerdpno_">
        <w:r>
          <w:rPr>
            <w:rFonts w:ascii="Arial" w:cs="Arial" w:eastAsia="Arial" w:hAnsi="Arial"/>
            <w:color w:val="1D4ED8"/>
            <w:sz w:val="24"/>
            <w:szCs w:val="24"/>
            <w:u w:val="single"/>
          </w:rPr>
          <w:t xml:space="preserve">23 марта 2022 года № 2022-П-12/17-6</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Активы</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5386"/>
        <w:gridCol w:w="1026"/>
        <w:gridCol w:w="1490"/>
        <w:gridCol w:w="1657"/>
      </w:tblGrid>
      <w:tr>
        <w:tc>
          <w:tcPr>
            <w:tcW w:type="dxa" w:w="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5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4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Банкноты и монеты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Денежные активы в расчетах</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Кыргызской Республики</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Корреспондентские счета в иностранных банках, кроме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Золото и другие драгоценные металлы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Межбанковские депозиты в коммерческих банках Кыргызской Республики</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Межбанковские депозиты в банках и финансовых организациях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Межбанковские депозиты в иностранных банках и финансовых организациях, кроме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Краткосрочные межбанковские размещения до 7 дней</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по РЕПО-соглашениям</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Портфель ценных бумаг</w:t>
      </w:r>
    </w:p>
    <w:p>
      <w:pPr>
        <w:spacing w:after="120"/>
        <w:jc w:val="right"/>
      </w:pPr>
      <w:r>
        <w:rPr>
          <w:rFonts w:ascii="Arial" w:cs="Arial" w:eastAsia="Arial" w:hAnsi="Arial"/>
          <w:sz w:val="24"/>
          <w:szCs w:val="24"/>
        </w:rPr>
        <w:t xml:space="preserve">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5598"/>
        <w:gridCol w:w="993"/>
        <w:gridCol w:w="1407"/>
        <w:gridCol w:w="1557"/>
      </w:tblGrid>
      <w:tr>
        <w:tc>
          <w:tcPr>
            <w:tcW w:type="dxa" w:w="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5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5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Правительством КР и/или Национальным банком</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местными органами власти</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Правительствами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иностранными Правительствами стран, кроме Правительств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Долговые ценные бумаги кыргызских компаний</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Долговые ценные бумаги компаний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Долговые ценные бумаги иностранных компаний, кроме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кыргызских компаний</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банков и финансовых учреждений КР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200.6</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компаний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банков и финансовых учреждений стран СНГ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210.6</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компаний КР и стран СНГ, не подлежащие амортизации</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банков и финансовых учреждений КР и стран СНГ, не подлежащие амортизации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220.6</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компаний, кроме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банков и финансовых учреждений, кроме стран СНГ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Кредиты и лизинги</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4697"/>
        <w:gridCol w:w="1177"/>
        <w:gridCol w:w="1704"/>
        <w:gridCol w:w="1896"/>
      </w:tblGrid>
      <w:tr>
        <w:tc>
          <w:tcPr>
            <w:tcW w:type="dxa" w:w="7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7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Кыргызской Республики</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и финансовым организациям стран СНГ</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иностранным банкам и финансовым организациям, кроме стран СНГ</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негосударственному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280.8</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физическим лицам для личных целей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290.8</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негосударственному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физическим лицам</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Кредиты и лизинги (продолжение)/Прочие активы</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
        <w:gridCol w:w="4867"/>
        <w:gridCol w:w="1134"/>
        <w:gridCol w:w="1600"/>
        <w:gridCol w:w="1769"/>
      </w:tblGrid>
      <w:tr>
        <w:tc>
          <w:tcPr>
            <w:tcW w:type="dxa" w:w="8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8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1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государственному сектору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негосударственному сектору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физическим лицам</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капитальную аренду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банках</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финансовых организациях, кроме банков</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нефинансовых учреждениях</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прочих активов</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(сумма ст.10-430)</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1</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2</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3</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4</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5</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6</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7</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8</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вычетов из капитала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Забалансовые обязательства</w:t>
      </w:r>
    </w:p>
    <w:p>
      <w:pPr>
        <w:spacing w:after="120"/>
        <w:jc w:val="right"/>
      </w:pPr>
      <w:r>
        <w:rPr>
          <w:rFonts w:ascii="Arial" w:cs="Arial" w:eastAsia="Arial" w:hAnsi="Arial"/>
          <w:sz w:val="24"/>
          <w:szCs w:val="24"/>
        </w:rPr>
        <w:t xml:space="preserve">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
        <w:gridCol w:w="4094"/>
        <w:gridCol w:w="1034"/>
        <w:gridCol w:w="1512"/>
        <w:gridCol w:w="1329"/>
        <w:gridCol w:w="1508"/>
      </w:tblGrid>
      <w:tr>
        <w:tc>
          <w:tcPr>
            <w:tcW w:type="dxa" w:w="7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 кредитной конверсии, %</w:t>
            </w:r>
          </w:p>
        </w:tc>
        <w:tc>
          <w:tcPr>
            <w:tcW w:type="dxa" w:w="1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5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на выдачу кредитов</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гарантии по кредитам и ценным бумагам, резервные аккредитивы и гарантии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конкретными сделками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 продаже с последующим выкупом</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покупке активов</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операции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процентной ставкой</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забалансовые обязательства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510-595)</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специальных резервов на покрытие потенциальных и лизинговых потерь и убытков (далее - специальный резерв на покрытие убытков)</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балансовым активам</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забалансовым обязательствам</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и забалансовых обязательств, взвешенных по степени риска, за минусом специальных резервов на покрытие убытков (ст.440 плюс ст.600 минус 610)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Субординированный долг</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4839"/>
        <w:gridCol w:w="1360"/>
        <w:gridCol w:w="1036"/>
        <w:gridCol w:w="2382"/>
      </w:tblGrid>
      <w:tr>
        <w:tc>
          <w:tcPr>
            <w:tcW w:type="dxa" w:w="5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48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2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Бессрочный субординированный долг</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более 5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4 до 5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3 до 4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670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2 до 3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1 до 2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менее 1 года</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Капитал и коэффициенты достаточности (адекватности) капитала</w:t>
      </w:r>
    </w:p>
    <w:p>
      <w:pPr>
        <w:spacing w:after="120"/>
        <w:jc w:val="both"/>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8527"/>
        <w:gridCol w:w="888"/>
      </w:tblGrid>
      <w:tr>
        <w:tc>
          <w:tcPr>
            <w:tcW w:type="dxa" w:w="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8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 (Собственный капитал)</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некумулятивные акции (приемлемые для включения в Базовый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для будущих потребностей банка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 прошлых лет</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Убытки текущего года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Нематериальные активы (ст.430.1)</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(ст. 200.1-230.1, ст.390, ст.400)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Отсроченные налоговые активы</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собственные акции банка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Базовый капитал Первого уровня (сумма ст.710-800)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 которые соответствуют критериям Дополнительного капитала Первого уровня, но неприемлемые для Базового капитала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инструменты капитала: бессрочный субординированный долг (ст.630)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Дополнительный капитал Первого уровня (сумма ст. 820-860)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Первого уровня (сумма ст.810 и ст.870)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Второго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текущего года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(приемлемые для включения):
 а) "общие" резервы на покрытие потенциальных потерь и убытков;
 б) "общие" резервы на покрытие потенциальных потерь и убытков от других активов, кроме кредитов</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переоценке ценных бумаг</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пересчету иностранной валюты при консолидации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920.1</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920.2</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Часть капитала и долговых инструментов, одобренная Национальным банком для включения в Капитал Второго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Второго уровня (сумма ст. 890-960)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чистый суммарный капитал (сумма ст.880 и ст.970)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(ст.980/ст.620)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(ст.880/ст.620)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Базового капитала Первого уровня (ст.810/ст.620)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qh46kcyvplhewchna3m">
      <w:r>
        <w:rPr>
          <w:rFonts w:ascii="Arial" w:cs="Arial" w:eastAsia="Arial" w:hAnsi="Arial"/>
          <w:color w:val="132D3F"/>
          <w:sz w:val="16"/>
          <w:szCs w:val="16"/>
          <w:u w:val="single"/>
        </w:rPr>
        <w:t xml:space="preserve">dalil.kg/document/31370</w:t>
      </w:r>
    </w:hyperlink>
  </w:p>
  <w:p>
    <w:pPr>
      <w:spacing w:after="0" w:before="40"/>
      <w:jc w:val="center"/>
    </w:pPr>
    <w:hyperlink w:history="1" r:id="rIdlr9ttkv8wiph-o29ksy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ihq69s0h-7lvgm4bkev" Type="http://schemas.openxmlformats.org/officeDocument/2006/relationships/hyperlink" Target="https://dalil.kg/document/31371" TargetMode="External"/><Relationship Id="rId1uuth7f0ntts2qizvtdwz" Type="http://schemas.openxmlformats.org/officeDocument/2006/relationships/hyperlink" Target="https://dalil.kg/document/31429" TargetMode="External"/><Relationship Id="rIdeiwjdunhqmsl3ozhwlwc6" Type="http://schemas.openxmlformats.org/officeDocument/2006/relationships/hyperlink" Target="https://dalil.kg/document/301179" TargetMode="External"/><Relationship Id="rIdcm7wkjcv7snvfhoihnnoj" Type="http://schemas.openxmlformats.org/officeDocument/2006/relationships/hyperlink" Target="https://dalil.kg/document/301237" TargetMode="External"/><Relationship Id="rIdcvb4u2yanh6c-jfw7b7qz" Type="http://schemas.openxmlformats.org/officeDocument/2006/relationships/hyperlink" Target="https://dalil.kg/document/302520" TargetMode="External"/><Relationship Id="rIdpfaomp3qmixkpdaet1oub" Type="http://schemas.openxmlformats.org/officeDocument/2006/relationships/hyperlink" Target="https://dalil.kg/document/302553" TargetMode="External"/><Relationship Id="rIddcox3jqskqtxrq4iabb6i" Type="http://schemas.openxmlformats.org/officeDocument/2006/relationships/hyperlink" Target="https://dalil.kg/document/302560" TargetMode="External"/><Relationship Id="rIdnyip7jkbn5qt019pf7bbn" Type="http://schemas.openxmlformats.org/officeDocument/2006/relationships/hyperlink" Target="https://dalil.kg/document/302998" TargetMode="External"/><Relationship Id="rIdel6zyrw2dtnwvfla0tspd" Type="http://schemas.openxmlformats.org/officeDocument/2006/relationships/hyperlink" Target="https://dalil.kg/document/800007" TargetMode="External"/><Relationship Id="rIdvf4n-rj1iuyviupjku72q" Type="http://schemas.openxmlformats.org/officeDocument/2006/relationships/hyperlink" Target="https://dalil.kg/document/303060" TargetMode="External"/><Relationship Id="rIdxmqvppcu5uyal3dslvrke" Type="http://schemas.openxmlformats.org/officeDocument/2006/relationships/hyperlink" Target="https://dalil.kg/document/800010" TargetMode="External"/><Relationship Id="rId3reylfqkfjp9ix_yvr2pg" Type="http://schemas.openxmlformats.org/officeDocument/2006/relationships/hyperlink" Target="https://dalil.kg/document/303061" TargetMode="External"/><Relationship Id="rIdhqgvs0ayza7kk8xfik5ha" Type="http://schemas.openxmlformats.org/officeDocument/2006/relationships/hyperlink" Target="https://dalil.kg/document/800013" TargetMode="External"/><Relationship Id="rIdhirjqspagq7lwby_vzf44" Type="http://schemas.openxmlformats.org/officeDocument/2006/relationships/hyperlink" Target="https://dalil.kg/document/800211" TargetMode="External"/><Relationship Id="rIdoyapyypqfzzzwq5dedxos" Type="http://schemas.openxmlformats.org/officeDocument/2006/relationships/hyperlink" Target="https://dalil.kg/document/800246" TargetMode="External"/><Relationship Id="rIdz1mrm8k8mflh0dkigyp6t" Type="http://schemas.openxmlformats.org/officeDocument/2006/relationships/hyperlink" Target="https://dalil.kg/document/800252" TargetMode="External"/><Relationship Id="rId6a0lio9aulan6euirhz_y" Type="http://schemas.openxmlformats.org/officeDocument/2006/relationships/hyperlink" Target="https://dalil.kg/document/800257" TargetMode="External"/><Relationship Id="rIdf7bvtjeweoqbex0manjmf" Type="http://schemas.openxmlformats.org/officeDocument/2006/relationships/hyperlink" Target="https://dalil.kg/document/800782" TargetMode="External"/><Relationship Id="rIdr4ov3kerawu9zeulvpfk9" Type="http://schemas.openxmlformats.org/officeDocument/2006/relationships/hyperlink" Target="https://dalil.kg/document/880805" TargetMode="External"/><Relationship Id="rIdk6mvevsqdkl0akyhxxbr4" Type="http://schemas.openxmlformats.org/officeDocument/2006/relationships/hyperlink" Target="https://dalil.kg/document/800839" TargetMode="External"/><Relationship Id="rIdri5qlvegki0qlshdp36oh" Type="http://schemas.openxmlformats.org/officeDocument/2006/relationships/hyperlink" Target="https://dalil.kg/document/800455" TargetMode="External"/><Relationship Id="rId0d7dzrxxwqwdwup-vsccj" Type="http://schemas.openxmlformats.org/officeDocument/2006/relationships/hyperlink" Target="https://dalil.kg/document/800013" TargetMode="External"/><Relationship Id="rId0sxjzlhzv6chltpsr7sfv" Type="http://schemas.openxmlformats.org/officeDocument/2006/relationships/hyperlink" Target="https://dalil.kg/document/301179" TargetMode="External"/><Relationship Id="rIdxkweaxq_pgxc6jxlprmsb" Type="http://schemas.openxmlformats.org/officeDocument/2006/relationships/hyperlink" Target="https://dalil.kg/document/800782" TargetMode="External"/><Relationship Id="rIdn_fadtcn-x_zhpsm9wizz" Type="http://schemas.openxmlformats.org/officeDocument/2006/relationships/hyperlink" Target="https://dalil.kg/document/800782" TargetMode="External"/><Relationship Id="rIdyarfzixg5pyf5s3y85p-x" Type="http://schemas.openxmlformats.org/officeDocument/2006/relationships/hyperlink" Target="https://dalil.kg/document/800782" TargetMode="External"/><Relationship Id="rIdrifvudghk1lgcpfykpptf" Type="http://schemas.openxmlformats.org/officeDocument/2006/relationships/hyperlink" Target="https://dalil.kg/document/800211" TargetMode="External"/><Relationship Id="rId3u-eim8jwvkmzedbx0k3x" Type="http://schemas.openxmlformats.org/officeDocument/2006/relationships/hyperlink" Target="https://dalil.kg/document/800211" TargetMode="External"/><Relationship Id="rIdgrehblwxornmf1biadut3" Type="http://schemas.openxmlformats.org/officeDocument/2006/relationships/hyperlink" Target="https://dalil.kg/document/800782" TargetMode="External"/><Relationship Id="rIdc_x-zmfwjtyfp2iff-jwd" Type="http://schemas.openxmlformats.org/officeDocument/2006/relationships/hyperlink" Target="https://dalil.kg/document/800782" TargetMode="External"/><Relationship Id="rIdgv0r4nqpuhiseoihishgs" Type="http://schemas.openxmlformats.org/officeDocument/2006/relationships/hyperlink" Target="https://dalil.kg/document/800782" TargetMode="External"/><Relationship Id="rIdvopv-oqtgwn375icnr4eq" Type="http://schemas.openxmlformats.org/officeDocument/2006/relationships/hyperlink" Target="https://dalil.kg/document/800211" TargetMode="External"/><Relationship Id="rIdezanuf8tcyloibs10i0vz" Type="http://schemas.openxmlformats.org/officeDocument/2006/relationships/hyperlink" Target="https://dalil.kg/document/800782" TargetMode="External"/><Relationship Id="rIdqibcsprnth60bipzoftix" Type="http://schemas.openxmlformats.org/officeDocument/2006/relationships/hyperlink" Target="https://dalil.kg/document/800010" TargetMode="External"/><Relationship Id="rIdwai2rzmtlp7oeci43arbp" Type="http://schemas.openxmlformats.org/officeDocument/2006/relationships/hyperlink" Target="https://dalil.kg/document/800782" TargetMode="External"/><Relationship Id="rIdh6e8mutgvpcogmy2hjgyp" Type="http://schemas.openxmlformats.org/officeDocument/2006/relationships/hyperlink" Target="https://dalil.kg/document/800013" TargetMode="External"/><Relationship Id="rIdfhgaxkjzdzbop3rgmfse_" Type="http://schemas.openxmlformats.org/officeDocument/2006/relationships/hyperlink" Target="https://dalil.kg/document/31429" TargetMode="External"/><Relationship Id="rId4p4cqlwokz0nyjy2kpwfr" Type="http://schemas.openxmlformats.org/officeDocument/2006/relationships/hyperlink" Target="https://dalil.kg/document/800013" TargetMode="External"/><Relationship Id="rIdf0ioaxicrpokuelh0xm6d" Type="http://schemas.openxmlformats.org/officeDocument/2006/relationships/hyperlink" Target="https://dalil.kg/document/800839" TargetMode="External"/><Relationship Id="rIdcdhhgm89_ozdxm5n-tacr" Type="http://schemas.openxmlformats.org/officeDocument/2006/relationships/hyperlink" Target="https://dalil.kg/document/203761" TargetMode="External"/><Relationship Id="rIdejwuoqrn0wrbbjwvwvhks" Type="http://schemas.openxmlformats.org/officeDocument/2006/relationships/hyperlink" Target="https://dalil.kg/document/302553" TargetMode="External"/><Relationship Id="rIdbk4cltjvympiuzugzwjx5" Type="http://schemas.openxmlformats.org/officeDocument/2006/relationships/hyperlink" Target="https://dalil.kg/document/800839" TargetMode="External"/><Relationship Id="rId5gc7tacj4mxeqlaij6ak9" Type="http://schemas.openxmlformats.org/officeDocument/2006/relationships/hyperlink" Target="https://dalil.kg/document/800211" TargetMode="External"/><Relationship Id="rIdfalwvpiltj3qi3ucxjuku" Type="http://schemas.openxmlformats.org/officeDocument/2006/relationships/hyperlink" Target="https://dalil.kg/document/800010" TargetMode="External"/><Relationship Id="rIduznwrbqk2vzoqw929mbwj" Type="http://schemas.openxmlformats.org/officeDocument/2006/relationships/hyperlink" Target="https://dalil.kg/document/800211" TargetMode="External"/><Relationship Id="rIdzonkjke5rlp1moe2racfv" Type="http://schemas.openxmlformats.org/officeDocument/2006/relationships/hyperlink" Target="https://dalil.kg/document/800257" TargetMode="External"/><Relationship Id="rIdxiqppak6rwiwqyrsi2tlf" Type="http://schemas.openxmlformats.org/officeDocument/2006/relationships/hyperlink" Target="https://dalil.kg/document/800782" TargetMode="External"/><Relationship Id="rIdcowqjhkpjiwckwr9ggo6_" Type="http://schemas.openxmlformats.org/officeDocument/2006/relationships/hyperlink" Target="https://dalil.kg/document/880805" TargetMode="External"/><Relationship Id="rIdronngsy_x6phfkerdpno_" Type="http://schemas.openxmlformats.org/officeDocument/2006/relationships/hyperlink" Target="https://dalil.kg/document/800455"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qh46kcyvplhewchna3m" Type="http://schemas.openxmlformats.org/officeDocument/2006/relationships/hyperlink" Target="https://dalil.kg/document/31370" TargetMode="External"/><Relationship Id="rIdlr9ttkv8wiph-o29ksy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2026-09-24T15:05:40.532Z</dcterms:created>
  <dcterms:modified xsi:type="dcterms:W3CDTF">2026-09-24T15:05:40.532Z</dcterms:modified>
</cp:coreProperties>
</file>

<file path=docProps/custom.xml><?xml version="1.0" encoding="utf-8"?>
<Properties xmlns="http://schemas.openxmlformats.org/officeDocument/2006/custom-properties" xmlns:vt="http://schemas.openxmlformats.org/officeDocument/2006/docPropsVTypes"/>
</file>