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_eodrtx9rg4uenegmpd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сентября 2004 года. Регистрационный номер 105-04                                                    Утверждена                                       </w:t>
      </w:r>
      <w:hyperlink w:history="1" r:id="rIdqfshx444c292pi70ychr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Кыргызской Республики                                          от 27 августа 2004 года № 123                               ИНСТРУКЦИЯ            о порядке присвоения почтовых номеров единицам                     недвижимости в городе Бишкек      1. Общие положения     2. Порядок проведения работ по присвоению почтовых номеров        единицам недвижимости                           1. Общие положения      1.1. Настоящая Инструкция определяет порядок  присвоения  почтовыхномеров единицам недвижимости независимо от формы собственности.     1.2. Выполнение работ по присвоению почтового номера объекту  нед-вижимости  производит отдел картографии Бишкекского городского управле-ния по землеустройству и регистрации прав на недвижимое имущество.     1.3. Выполнение работ по установке, замене, обследованию состоянияи наличия на зданиях аншлагов,  номеров  домов,  квартир  и  указателейподъездов осуществляют районные комбинаты благоустройства.     1.4. Поддержание в порядке аншлагов,  номеров зданий, домов, квар-тир,  указателей подъездов осуществляют владельцы зданий и собственникиквартир, домов.     1.5. Присвоение почтового номера на вновь построенные объекты нед-вижимости производится после завершения работ по технической  паспорти-зации объекта недвижимости.       2. Порядок проведения работ по присвоению почтовых номеров                         единицам недвижимости      2.1. Специалист отдела картографии с выездом на местность  опреде-ляет местоположение объекта недвижимости в секторе, квартале, участке.     2.2. После определения местоположения объекта недвижимости и  про-изведения  сверки по регистрационной индексированной карте производитсянумерация объекта недвижимости.     2.3. Нумерация производится в следующем порядке:     - для улиц,  имеющих направление с юга на север - увеличение номе-ров на север;     - для улиц,  имеющих направление с востока на запад  -  увеличениеномеров на запад.     При этом четные номера присваиваются единицам недвижимости, распо-ложенным на западной стороне улиц,  имеющих направление с юга на север,и на южной стороне для улиц, расположенных с востока на запад.     Нечетные номера  присваиваются соответственно единицам недвижимос-ти, расположенным на восточной и на северной стороне улиц.     Здания, находящиеся на перекрестках бульваров,  проспектов,  улиц,переулков (угловые),  должны иметь два номерных знака,  один из которыхдолжен быть установлен на главном фасаде здания, а другой - на его тор-цевой стороне.     2.4. При присвоении номера вновь выстроенным объектам недвижимостипочтовый номер присваивается с привязкой к существующим  рядом  номерамобъектов недвижимости.     К уже присвоенному рядом объекту недвижимости почтовому номеру до-бавляются  буквенные или цифровые - дробные номера (например - 125а или125/1).     2.5. Присвоение  номера  оформляется актом и приказом местного ре-гистрационного органа,  после чего вносится  запись  в  регистрационнуюкарточку,  технический паспорт (если имеется), регистрационную индекси-рованную карту, в электронную базу данных о единицах недвижимости.     2.6. Акт подписывается исполнителем,  собственником, пользователемили председателем квартального комитета,  начальником отдела  картогра-фии,  начальником  отдела информации,  начальником отдела обследования,начальником отдела информационных технологий,  после чего  утверждаетсяначальником Управления регистрационного органа.     2.7. Акт и копия приказа помещается в  архивное  (регистрационное)дело объекта недвижимости.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c6q3kcakm0ptihaftik">
      <w:r>
        <w:rPr>
          <w:rFonts w:ascii="Arial" w:cs="Arial" w:eastAsia="Arial" w:hAnsi="Arial"/>
          <w:color w:val="132D3F"/>
          <w:sz w:val="16"/>
          <w:szCs w:val="16"/>
          <w:u w:val="single"/>
        </w:rPr>
        <w:t xml:space="preserve">dalil.kg/document/31387</w:t>
      </w:r>
    </w:hyperlink>
  </w:p>
  <w:p>
    <w:pPr>
      <w:spacing w:after="0" w:before="40"/>
      <w:jc w:val="center"/>
    </w:pPr>
    <w:hyperlink w:history="1" r:id="rId520kf7l-2x0kh4egndf2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_eodrtx9rg4uenegmpdq" Type="http://schemas.openxmlformats.org/officeDocument/2006/relationships/hyperlink" Target="https://dalil.kg/document/202591" TargetMode="External"/><Relationship Id="rIdqfshx444c292pi70ychrp" Type="http://schemas.openxmlformats.org/officeDocument/2006/relationships/hyperlink" Target="https://dalil.kg/document/313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c6q3kcakm0ptihaftik" Type="http://schemas.openxmlformats.org/officeDocument/2006/relationships/hyperlink" Target="https://dalil.kg/document/31387" TargetMode="External"/><Relationship Id="rId520kf7l-2x0kh4egndf2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2026-10-02T02:46:16.923Z</dcterms:created>
  <dcterms:modified xsi:type="dcterms:W3CDTF">2026-10-02T02:46:16.923Z</dcterms:modified>
</cp:coreProperties>
</file>

<file path=docProps/custom.xml><?xml version="1.0" encoding="utf-8"?>
<Properties xmlns="http://schemas.openxmlformats.org/officeDocument/2006/custom-properties" xmlns:vt="http://schemas.openxmlformats.org/officeDocument/2006/docPropsVTypes"/>
</file>