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120"/>
        <w:jc w:val="both"/>
      </w:pPr>
      <w:r>
        <w:rPr>
          <w:rFonts w:ascii="Arial" w:cs="Arial" w:eastAsia="Arial" w:hAnsi="Arial"/>
          <w:sz w:val="24"/>
          <w:szCs w:val="24"/>
        </w:rPr>
        <w:t xml:space="preserve">                          ПРЕКРАТИЛ ДЕЙСТВИЕ
                 в соответствии со статьей 36 </w:t>
      </w:r>
      <w:hyperlink w:history="1" r:id="rIdw6pugxxnjnsruuqdpuiqw">
        <w:r>
          <w:rPr>
            <w:rFonts w:ascii="Arial" w:cs="Arial" w:eastAsia="Arial" w:hAnsi="Arial"/>
            <w:color w:val="1D4ED8"/>
            <w:sz w:val="24"/>
            <w:szCs w:val="24"/>
            <w:u w:val="single"/>
          </w:rPr>
          <w:t xml:space="preserve">Закона</w:t>
        </w:r>
      </w:hyperlink>
      <w:r>
        <w:rPr>
          <w:rFonts w:ascii="Arial" w:cs="Arial" w:eastAsia="Arial" w:hAnsi="Arial"/>
          <w:sz w:val="24"/>
          <w:szCs w:val="24"/>
        </w:rPr>
        <w:t xml:space="preserve"> КР
                      от 20 июля 2009 года № 241
             "О нормативных правовых актах Кыргызской Республики"Зарегистрировано в Министерстве юстиции Кыргызской Республикиот 27 сентября 2002 года. Регистрационный номер 130-02                                                    Утверждено                                         </w:t>
      </w:r>
      <w:hyperlink w:history="1" r:id="rId9aq4mjh_4hmlv21sb5pe2">
        <w:r>
          <w:rPr>
            <w:rFonts w:ascii="Arial" w:cs="Arial" w:eastAsia="Arial" w:hAnsi="Arial"/>
            <w:color w:val="1D4ED8"/>
            <w:sz w:val="24"/>
            <w:szCs w:val="24"/>
            <w:u w:val="single"/>
          </w:rPr>
          <w:t xml:space="preserve">постановлением</w:t>
        </w:r>
      </w:hyperlink>
      <w:r>
        <w:rPr>
          <w:rFonts w:ascii="Arial" w:cs="Arial" w:eastAsia="Arial" w:hAnsi="Arial"/>
          <w:sz w:val="24"/>
          <w:szCs w:val="24"/>
        </w:rPr>
        <w:t xml:space="preserve"> Государственной                                           комиссии при Правительстве                                              Кыргызской Республики                                              по рынку ценных бумаг                                          от 29 августа 2002 года № 65                                ПОЛОЖЕНИЕ                    об управляющих компаниях паевых                         инвестиционных фондов                           1. Общие положения      1.1. Настоящее  положение определяет требования к управляющей ком-пании паевых инвестиционных фондов (далее именуется - управляющая  ком-пания),  условия осуществления деятельности по управлению паевых инвес-тиционных фондов (далее именуется - Фонд).                  2. Требования к управляющей компании      2.1. Управляющая компания - юридическое лицо, имеющее соответству-ющую  лицензию на осуществление профессиональной деятельности по ценнымбумагам и зарегистрировавшее проспект  эмиссии  инвестиционных  паев  иправила Фонда.     Банки не вправе осуществлять функции управляющей компании инвести-ционного фонда.     2.2. Управляющая компания вправе осуществлять управление  несколь-кими инвестиционными фондами,  как паевыми, так и акционерными, при ус-ловии, что инвестиционные декларации соответствующих фондов имеют прин-ципиально различное содержание их инвестиционных целей.     2.3. Квалификация должностных лиц управляющей компании должна  со-ответствовать квалификационным требованиям, предъявляемым к лицам, осу-ществляющим профессиональную деятельность на рынке ценных бумаг,  опре-деленным государственным органом по регулированию рынка ценных бумаг.     2.4. Исполнительным органом управляющей  компании  не  может  бытьюридическое лицо.     2.5. Управляющая компания не является собственником активов Фонда.Имущество управляющей компании должно быть обособлено от имущества Фон-да.     2.6. Минимальный  собственный  капитал управляющей компании долженсоответствовать требованиям,  установленным государственным органом  порегулированию рынка ценных бумаг.                  3. Условия осуществления деятельности                         по управлению Фондом      3.1. Управляющая компания осуществляет свои функции в соответствиис  инвестиционной декларацией Фонда,  правилами этого Фонда,  настоящимПоложением и иными актами, утвержденными государственным органом по ре-гулированию рынка ценных бумаг.     3.2. Управляющая  компания  при  осуществлении  управления  Фондомдействует от своего имени. При этом она обязана указывать, что выступа-ет в качестве управляющей компании Фонда,  со ссылкой  на  наименованиеФонда.     Управляющая компания вправе без специальной доверенности  участво-вать  в  управлении  акционерными обществами,  акции которых составляютФонд.     3.3. Управляющая  компания обязана осуществлять управление Фондом,в интересах владельцев инвестиционных паев этого Фонда.     В соответствии с правилами Фонда, управляющей компанией заключает-ся договор о передаче имущества инвесторов в  доверительное  управлениена основании заявки на приобретение инвестиционных паев,  который прек-ращается на основании заявки на выкуп инвестиционных паев.     При первичном размещении инвестиционных паев управляющей компаниейустанавливается стоимость инвестиционного пая,  которая должна быть не-изменной в течение всего срока первичного размещения инвестиционных па-ев.     Доход, полученный  управляющей  компанией при первичном размещенииинвестиционных паев в  результате  инвестирования  полученных  денежныхсредств в депозиты банков, свободно конвертируемую валюту или государс-твенные ценные бумаги, не является собственностью управляющей компании,а относится на прирост имущества, составляющего Фонд.     3.4. Управляющая компания, при осуществлении управления Фондом, засчет имущества, составляющего Фонд, не вправе:     - осуществлять инвестирование в активы,  не указанные в инвестици-онной декларации;     - совершать сделки, в результате которых будут нарушены требованияактов, утвержденных государственным органом по регулированию рынка цен-ных бумаг, включая требования к структуре активов соответствующих типовпаевых инвестиционных фондов;     - безвозмездно отчуждать имущество, составляющее Фонд;     - принимать  на себя обязанности по передаче имущества,  которое вмомент принятия такой обязанности не составляет Фонд;     - привлекать  заемные  средства,  подлежащие возврату за счет иму-щества,  составляющего Фонд,  не иначе как с целью  использования  этихсредств  для  выкупа инвестиционных паев Фонда у их владельцев и толькопри недостаточности для этого денежных средств,  составляющих Фонд. Приэтом совокупный объем задолженности,  подлежащей погашению за счет иму-щества,  составляющего Фонд по всем договорам займа и кредитным догово-рам  не должен превышать 10 процентов стоимости чистых активов Фонда надату заключения договора.  Срок привлечения заемных средств по  каждомуиз договоров займа и кредитных договоров не может превышать шесть меся-цев без права продления;     - предоставлять займы и кредиты денежными средствами или иным иму-ществом;     - использовать имущество,  составляющее Фонд,  для обеспечения ис-полнения собственных обязательств,  не связанных  с  управлением  этогоФонда, или исполнения обязательств третьих лиц;     - выступать гарантом и поручителем исполнения обязательств  треть-ими лицами;     - совершать фьючерсные и форвардные сделки;     - приобретать производные ценные бумаги;     - выпускать ценные бумаги,  иные,  чем инвестиционные паи, а такжеакции, если управляющая компания является акционерным обществом;     - приобретать объекты инвестирования у  своих  аффилированных  лицлибо отчуждать им такие объекты;     - приобретать ценные бумаги,  выпущенные  другими  инвестиционнымифондами;     - инвестировать средства в ценные бумаги,  выпущенные аффилирован-ными  лицами Фонда,  управляющей компанией,  ее аффилированными лицами,депозитарием,  независимым аудитором, независимым оценщиком, а также ихаффилированными лицами;     - приобретать в собственность  имущество,  составляющее  Фонд,  заисключением  случаев  получения  вознаграждения и возмещения расходов всоответствии с  правилами  Фонда,  а  также  возмещения  суммы  заемныхсредств, использованных управляющей компанией для выкупа инвестиционныхпаев этого Фонда;     - совершать сделки с аффилированными лицами данного Фонда;     - принимать на себя обязательства,  условия и порядок принятия ко-торых противоречат правилам Фонда и законодательству Кыргызской Респуб-лики;     - проводить инвестиции более 10 процентов всех чистых активов Фон-да в ценные бумаги одного эмитента, за исключением инвестирования в го-сударственные ценные бумаги,  гарантированные Правительством КыргызскойРеспублики;     - владеть более 25 процентами ценных бумаг одного эмитента;     - давать гарантии любого вида или совершать залоговые сделки;     - создавать дочерние предприятия Фонда;     - гарантировать или обещать прибыль (доход) или  увеличение  стои-мости инвестиционных паев Фонда.     3.5. Управляющая компания обязана:     - в соответствии с правилами этого Фонда,  требованиями настоящегоположения и иных актов, утвержденных государственным органом по регули-рованию  рынка  ценных  бумаг,  размещать и выкупать инвестиционные паиФонда,  независимо от того осуществляется ли прием заявок на приобрете-ние  и  выкуп инвестиционных паев непосредственно управляющей компаниейили агентами по размещению и выкупу инвестиционных паев;     - в  соответствии  с правилами этого Фонда обеспечить прием заявокна выкуп инвестиционных паев в месте нахождения агента по размещению  ивыкупу инвестиционных паев Фонда,  в случае ликвидации агента по разме-щению и выкупу инвестиционных паев,  приостановления действия и аннули-рования  у  него соответствующего разрешения государственного органа порегулированию рынка ценных бумаг,  а также отзыва у  него  доверенностиили  расторжения договора на осуществление размещения и выкупа инвести-ционных паев Фонда в течение месяца с этого момента;     - не  позднее  5 календарных дней после окончания срока первичногоразмещения инвестиционных паев представить в государственный  орган  порегулированию рынка ценных бумаг на утверждение отчет об итогах первич-ного размещения инвестиционных паев и опубликовать его в средствах мас-совой информации;     - в случае если по окончании срока первичного размещения  инвести-ционных паев стоимость чистых активов Фонда составила менее суммы,  ус-тановленной государственным органом по регулированию рынка  ценных  бу-маг, прекратить прием заявок на приобретение инвестиционных паев, послечего Фонд подлежит ликвидации.  Средства,  полученные в результате пер-вичного размещения, подлежат возврату владельцам инвестиционных паев.     3.6. Управляющая компания обязана хранить денежные средства,  сос-тавляющие Фонд,  на отдельном банковском счете,  открытом у депозитарияэтого Фонда,  если последний является банком или другой кредитной орга-низацией,  имеющей право открывать и вести счета клиентов. Если депози-тарий не является банком или  другой  кредитной  организацией,  имеющейправо  открывать  и  вести счета клиентов,  управляющая компания должнахранить денежные средства,  составляющие Фонд,  на отдельном банковскомсчете,  открытом в банке или другой кредитной организации.  Иностраннаявалюта,  составляющая Фонд, может находиться на отдельном счете, откры-том в банке или другой кредитной организации,  в случае, если депозита-рий не вправе открывать и вести счета клиентов в иностранной валюте.     Управляющая компания,  если  иное не предусмотрено правилами этогоФонда,  вправе помещать денежные средства, составляющие Фонд, во вкладыв банке. При этом во вкладах в одном банке не может находиться более 10процентов стоимости активов, составляющих этот Фонд.     Управляющая компания  имеет  право  размещать  полученные денежныесредства в период первичного размещения инвестиционных паев  только  надепозитах  в коммерческих банках,  в свободно конвертируемой валюте и вгосударственных ценных бумагах.     Управляющая компания вправе дробить инвестиционные паи Фонда в со-ответствии с требованиями,  установленными государственным  органом  порегулированию рынка ценных бумаг.     3.7. Управляющая компания обязана передавать в  депозитарий  Фондаценные  бумаги  и иные документы,  необходимые для учета прав на ценныебумаги, составляющие имущество Фонда.     3.8. Управляющая  компания  должна передавать копии всех первичныхдокументов в отношении имущества, составляющего Фонд, на хранение депо-зитарию немедленно после их получения и (или) составления.     3.9. Управляющая компания обязана представлять  в  государственныйорган  по регулированию рынка ценных бумаг отчетность в объеме и сроки,установленные государственным органом по регулированию рынка ценных бу-маг.</w:t>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b-e7knkeubruxdjbfrnml">
      <w:r>
        <w:rPr>
          <w:rFonts w:ascii="Arial" w:cs="Arial" w:eastAsia="Arial" w:hAnsi="Arial"/>
          <w:color w:val="132D3F"/>
          <w:sz w:val="16"/>
          <w:szCs w:val="16"/>
          <w:u w:val="single"/>
        </w:rPr>
        <w:t xml:space="preserve">dalil.kg/document/31714</w:t>
      </w:r>
    </w:hyperlink>
  </w:p>
  <w:p>
    <w:pPr>
      <w:spacing w:after="0" w:before="40"/>
      <w:jc w:val="center"/>
    </w:pPr>
    <w:hyperlink w:history="1" r:id="rIdwhtqhmgfcg9wqxegsqn6a">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w6pugxxnjnsruuqdpuiqw" Type="http://schemas.openxmlformats.org/officeDocument/2006/relationships/hyperlink" Target="https://dalil.kg/document/202591" TargetMode="External"/><Relationship Id="rId9aq4mjh_4hmlv21sb5pe2" Type="http://schemas.openxmlformats.org/officeDocument/2006/relationships/hyperlink" Target="https://dalil.kg/document/31613" TargetMode="External"/><Relationship Id="rId8" Type="http://schemas.openxmlformats.org/officeDocument/2006/relationships/image" Target="media/8de64316e95979c063c17bcd5380dc052a2594e9.png"/><Relationship Id="rId11"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b-e7knkeubruxdjbfrnml" Type="http://schemas.openxmlformats.org/officeDocument/2006/relationships/hyperlink" Target="https://dalil.kg/document/31714" TargetMode="External"/><Relationship Id="rIdwhtqhmgfcg9wqxegsqn6a"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2026-10-01T13:18:54.264Z</dcterms:created>
  <dcterms:modified xsi:type="dcterms:W3CDTF">2026-10-01T13:18:54.264Z</dcterms:modified>
</cp:coreProperties>
</file>

<file path=docProps/custom.xml><?xml version="1.0" encoding="utf-8"?>
<Properties xmlns="http://schemas.openxmlformats.org/officeDocument/2006/custom-properties" xmlns:vt="http://schemas.openxmlformats.org/officeDocument/2006/docPropsVTypes"/>
</file>