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kpezvrtkbqmt9hrbyve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апреля 2000 года. Регистрационный номер 58 г.Бишкекот 3 апреля 2000 года № 104-п           ПРИКАЗ МИНИСТЕРСТВА ФИНАНСОВ КЫРГЫЗСКОЙ РЕСПУБЛИКИ              Об утверждении Разъяснения по налогообложению          хозяйствующих субъектов (организаций), участвующих           в Проектах развития, финансируемых международными                       финансовыми организациями      Приказываю:     1. Утвердить </w:t>
      </w:r>
      <w:hyperlink w:history="1" r:id="rIdgnzxmqnuw14nv8fviljgw">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по налогообложению хозяйствующих  субъек-тов (организаций),  участвующих в Проектах развития, финансируемых меж-дународными финансовыми организациями (прилагается).     2. Управлению  налоговой  и таможенной политики (Касымалиеву А.А.)произвести регистрацию настоящего приказа в Министерстве  юстиции  Кыр-гызской Республики.     3. Государственной налоговой инспекции и Государственной  таможен-ной инспекции при Министерстве финансов Кыргызской Республике принять кисполнению прилагаемое Разъяснение и довести его до сведения налогопла-тельщиков.     4. Управлению делами Министерства финансов  Кыргызской  Республикиопубликовать данное Разъяснение в средствах массовой информации.     5. Контроль за исполнением настоящего приказа возложить на первогозаместителя Министра финансов Кыргызской Республики Имашева Ч.И.      Министр финансов      Кыргызской Республики                                  С.Медеров  </w:t>
      </w:r>
      <w:r>
        <w:rPr>
          <w:rFonts w:ascii="Arial" w:cs="Arial" w:eastAsia="Arial" w:hAnsi="Arial"/>
          <w:sz w:val="24"/>
          <w:szCs w:val="24"/>
        </w:rPr>
        <w:t xml:space="preserve">                                                   Утверждено                                         приказом Министерства финансов                                              Кыргызской Республики                                          от 3 апреля 2000 года № 104-п                               РАЗЪЯСНЕНИЕ              по налогообложению хозяйствующих субъектов     (организаций), участвующих в Проектах развития, финансируемых               международными финансовыми организациями      (В редакции приказа Минфина КР от </w:t>
      </w:r>
      <w:hyperlink w:history="1" r:id="rIdbkypjazlcvgpd2bao_m_v">
        <w:r>
          <w:rPr>
            <w:rFonts w:ascii="Arial" w:cs="Arial" w:eastAsia="Arial" w:hAnsi="Arial"/>
            <w:color w:val="1D4ED8"/>
            <w:sz w:val="24"/>
            <w:szCs w:val="24"/>
            <w:u w:val="single"/>
          </w:rPr>
          <w:t xml:space="preserve">11 июля 2003 года № 194-п</w:t>
        </w:r>
      </w:hyperlink>
      <w:r>
        <w:rPr>
          <w:rFonts w:ascii="Arial" w:cs="Arial" w:eastAsia="Arial" w:hAnsi="Arial"/>
          <w:sz w:val="24"/>
          <w:szCs w:val="24"/>
        </w:rPr>
        <w:t xml:space="preserve">)      Настоящее Разъяснение регулирует порядок  налогообложения  хозяйс-твующих субъектов (организаций),  участвующих в Проектах развития,  фи-нансируемых международными финансовыми организациями.     Правительством Кыргызской  Республики заключаются Кредитные Согла-шения с различными международными финансовыми организациями, в частнос-ти Международной Ассоциацией Развития,  Азиатским Банком Развития, Фон-дом Зарубежного Экономического Сотрудничества (ФЗЭС) и другими, которыедолжны  быть в обязательном порядке ратифицированы Жогорку Кенешем Кыр-гызской Республики или Президентом Кыргызской Республики и в  соответс-твии со статьей 6 </w:t>
      </w:r>
      <w:hyperlink w:history="1" r:id="rIdmt3uc00bf9jfpuegiz3l6">
        <w:r>
          <w:rPr>
            <w:rFonts w:ascii="Arial" w:cs="Arial" w:eastAsia="Arial" w:hAnsi="Arial"/>
            <w:color w:val="1D4ED8"/>
            <w:sz w:val="24"/>
            <w:szCs w:val="24"/>
            <w:u w:val="single"/>
          </w:rPr>
          <w:t xml:space="preserve">Налогового</w:t>
        </w:r>
      </w:hyperlink>
      <w:r>
        <w:rPr>
          <w:rFonts w:ascii="Arial" w:cs="Arial" w:eastAsia="Arial" w:hAnsi="Arial"/>
          <w:sz w:val="24"/>
          <w:szCs w:val="24"/>
        </w:rPr>
        <w:t xml:space="preserve"> и Таможенного </w:t>
      </w:r>
      <w:hyperlink w:history="1" r:id="rIdqbpitkd_a_q5azsk589t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будут иметь приоритет перед налоговым и таможенным законодательствомреспублики.     Одним из требований Кредитных  Соглашений  является  то,  что  этисредства  не должны использоваться для уплаты любых налогов и сборов натерритории Кыргызской Республики.     Деятельность непосредственно хозяйствующих субъектов (организаций,генеральных подрядчиков),  выигравших тендер на  проведение  каких-либоработ  и услуг в рамках Проектов,  осуществляемые на кредитные средствамеждународных финансовых организаций,  освобождаются от уплаты всех на-логов и пошлин, за исключением прямых и целевых налогов (налога на при-быль, налога за пользование автомобильными дорогами и отчислений в фондпредупреждения и ликвидаций чрезвычайных ситуаций.     В отношении поставок товаров (работ и услуг)  на  территории  Кыр-гызской Республики субподрядными организациями, непосредственно в адресхозяйствующих субъектов (организаций - генеральных подрядчиков), а так-же в адрес отделов по реализации Проектов, международных консультантов,применяется освобожденная поставка по налогу на  добавленную  стоимость(НДС),  то есть НДС,  уплаченный или подлежащий уплате за приобретенныематериальные ресурсы,  используемые для осуществления данной  поставки,зачету не подлежит, в счетах-фактурах отдельной строкой не выделяется ивключается в стоимость поставки.  Данное положение не применяется в от-ношении поставок услуг связи и коммунальных услуг (электроэнергия, газ,радио,  телеантенна,  горячая и холодная вода, отопление и др.) в адресхозяйствующих субъектов (организаций генеральных подрядчиков).     Например: Кантский  цементно-шиферный комбинат отпускает генераль-ному подрядчику цемент на сумму 1000 условных единиц.  Для производствацемента на сумму 1000 условных единиц Кантский цементно-шиферный комби-нат приобрел материальные ресурсы на сумму 500 условных единиц,  в  томчисле НДС - 100 условных единиц.  В счет-фактуре, Кантский цементно-ши-ферный комбинат НДС за приобретенные материальные ресурсы не выделяет ивключат в цену поставки,  т.е. 1100 условных единиц, а не 1200 условныхединиц, в графе НДС ставится прочерк.     Освобождение при импорте товаров, вещей и иных предметов, в рамкахПроектов, от уплаты налогов (НДС и акцизного налога), таможенных пошлини сборов распространяется только на генеральных подрядчиков, выигравшихтендер,  а также на отделы реализации Проектов и международных консуль-тантов в рамках их основной деятельности по Проектам.     Следует отметить,  что ввоз (вывоз) товаров, оборудования, вещей ииных предметов субподрядными организациями,  подлежат обложению налога-ми,  таможенными пошлинами и сборами в соответствии с налоговым и тамо-женным законодательством Кыргызской Республики.     Отделы по реализации Проектов должны представлять  в  Министерствофинансов Кыргызской Республики списки генеральных подрядчиков, выиграв-ших тендер. В свою очередь генеральные подрядчики представляют в Минис-терство финансов республики списки субподрядных организаций и копии до-говоров (контрактов,  соглашений), которые в последующем направляются вналоговые и таможенные органы.     Доходы местного персонала основных и субподрядных организаций под-лежат  обложению  подоходным налогом и отчислениям в Социальный фонд наобщих основаниях в соответствии с законодательством Кыргызской  Респуб-лики.     Необходимо отметить,  что в соответствии со статьей 72  Налогового</w:t>
      </w:r>
      <w:hyperlink w:history="1" r:id="rIdp6y5raddp_tiwicywkdn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плательщиками подоходного налога являютсявсе физические лица - резиденты и  нерезиденты  Кыргызской  Республики,имеющие доход.     В связи с этим,  иностранные сотрудники, задействованные по Проек-там, если только не установлено иное налогообложение в Кредитных Согла-шениях, должны облагаться подоходным налогом у источника выплаты, в со-ответствии с Налоговым </w:t>
      </w:r>
      <w:hyperlink w:history="1" r:id="rIdgeskgyunjo7nrfzxhfyr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т.к. получаемаяими заработная плата рассматривается не как кредитные средства,  а  какличный доход, полученный в Кыргызской Республике.     В случае,  если источник выплаты находится за пределами Кыргызста-на,  иностранный  сотрудник должен в обязательном порядке зарегистриро-ваться в налоговых органах по месту нахождения предприятия,  в  которомон  выполняет  свои  служебные обязанности и уплатить сумму подоходногоналога по ставкам согласно статьи 89 Налогового </w:t>
      </w:r>
      <w:hyperlink w:history="1" r:id="rId1iocemqtettne9kb7yvr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После уплаты подоходного налога предприятие, в котором иностранныйсотрудник задействован, подписывает соответствующие документы для полу-чения им дохода из источника выплаты,  находящегося за  пределами  Кыр-гызстана.     При необходимости  Комитет  по  доходам  при Министерстве финансовКыргызской Республики предоставляет справку об уплате подоходного нало-га в Кыргызской Республике иностранному сотруднику.     При привлечении иностранных юридических лиц (нерезидентов) для вы-полнения работ и услуг по Проектам источник выплаты обязан, в соответс-твии со статьей 109 Налогового </w:t>
      </w:r>
      <w:hyperlink w:history="1" r:id="rIdyqc7m06yp6kyciwoqbqp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удержатьи  перечислить в бюджет республики доход нерезидента по соответствующимставкам, указанным в статье 109 Налогового </w:t>
      </w:r>
      <w:hyperlink w:history="1" r:id="rIdonzisk3uj8tbbtkeu54t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Например: иностранное  юридическое  лицо - нерезидент,  не имеющийпостоянного учреждения в Кыргызской Республике, выполнил работу по Про-екту на сумму 1000 условных единиц.  Источник выплаты - юридическое ли-цо,  задействованное в Проекте и зарегистрированное по законодательствуКыргызской Республики,  обязано удержать и перечислить в бюджет респуб-лики 300 условных единиц по ставке 30 процентов без осуществления выче-тов (1000 х 0,3 = 300),  а оставшуюся сумму в размере 700 условных еди-ниц выплатить иностранному юридическому лицу - нерезиденту.     Налоговые и таможенные льготы, указанные выше, распространяются нахозяйствующие субъекты (организации, генеральные подрядчики) только приих регистрации в налоговых органах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is4ea1oz_gir3v-d9nb">
      <w:r>
        <w:rPr>
          <w:rFonts w:ascii="Arial" w:cs="Arial" w:eastAsia="Arial" w:hAnsi="Arial"/>
          <w:color w:val="132D3F"/>
          <w:sz w:val="16"/>
          <w:szCs w:val="16"/>
          <w:u w:val="single"/>
        </w:rPr>
        <w:t xml:space="preserve">dalil.kg/document/31791</w:t>
      </w:r>
    </w:hyperlink>
  </w:p>
  <w:p>
    <w:pPr>
      <w:spacing w:after="0" w:before="40"/>
      <w:jc w:val="center"/>
    </w:pPr>
    <w:hyperlink w:history="1" r:id="rIdwsmywq1ji4lg9zvxcycr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pezvrtkbqmt9hrbyveb" Type="http://schemas.openxmlformats.org/officeDocument/2006/relationships/hyperlink" Target="https://dalil.kg/document/202591" TargetMode="External"/><Relationship Id="rIdgnzxmqnuw14nv8fviljgw" Type="http://schemas.openxmlformats.org/officeDocument/2006/relationships/hyperlink" Target="https://dalil.kg/document/31791#1" TargetMode="External"/><Relationship Id="rIdbkypjazlcvgpd2bao_m_v" Type="http://schemas.openxmlformats.org/officeDocument/2006/relationships/hyperlink" Target="https://dalil.kg/document/30835" TargetMode="External"/><Relationship Id="rIdmt3uc00bf9jfpuegiz3l6" Type="http://schemas.openxmlformats.org/officeDocument/2006/relationships/hyperlink" Target="https://dalil.kg/document/632" TargetMode="External"/><Relationship Id="rIdqbpitkd_a_q5azsk589ti" Type="http://schemas.openxmlformats.org/officeDocument/2006/relationships/hyperlink" Target="https://dalil.kg/document/1587" TargetMode="External"/><Relationship Id="rIdp6y5raddp_tiwicywkdng" Type="http://schemas.openxmlformats.org/officeDocument/2006/relationships/hyperlink" Target="https://dalil.kg/document/632" TargetMode="External"/><Relationship Id="rIdgeskgyunjo7nrfzxhfyrh" Type="http://schemas.openxmlformats.org/officeDocument/2006/relationships/hyperlink" Target="https://dalil.kg/document/632" TargetMode="External"/><Relationship Id="rId1iocemqtettne9kb7yvru" Type="http://schemas.openxmlformats.org/officeDocument/2006/relationships/hyperlink" Target="https://dalil.kg/document/632" TargetMode="External"/><Relationship Id="rIdyqc7m06yp6kyciwoqbqps" Type="http://schemas.openxmlformats.org/officeDocument/2006/relationships/hyperlink" Target="https://dalil.kg/document/632" TargetMode="External"/><Relationship Id="rIdonzisk3uj8tbbtkeu54tf"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is4ea1oz_gir3v-d9nb" Type="http://schemas.openxmlformats.org/officeDocument/2006/relationships/hyperlink" Target="https://dalil.kg/document/31791" TargetMode="External"/><Relationship Id="rIdwsmywq1ji4lg9zvxcycr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2026-09-30T16:12:43.917Z</dcterms:created>
  <dcterms:modified xsi:type="dcterms:W3CDTF">2026-09-30T16:12:43.917Z</dcterms:modified>
</cp:coreProperties>
</file>

<file path=docProps/custom.xml><?xml version="1.0" encoding="utf-8"?>
<Properties xmlns="http://schemas.openxmlformats.org/officeDocument/2006/custom-properties" xmlns:vt="http://schemas.openxmlformats.org/officeDocument/2006/docPropsVTypes"/>
</file>