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huj4cdkp5fhvcd6_lhps6">
        <w:r>
          <w:rPr>
            <w:rFonts w:ascii="Arial" w:cs="Arial" w:eastAsia="Arial" w:hAnsi="Arial"/>
            <w:color w:val="1D4ED8"/>
            <w:sz w:val="24"/>
            <w:szCs w:val="24"/>
            <w:u w:val="single"/>
          </w:rPr>
          <w:t xml:space="preserve">19 декабря 2006 года №876</w:t>
        </w:r>
      </w:hyperlink>
      <w:r>
        <w:rPr>
          <w:rFonts w:ascii="Arial" w:cs="Arial" w:eastAsia="Arial" w:hAnsi="Arial"/>
          <w:sz w:val="24"/>
          <w:szCs w:val="24"/>
        </w:rPr>
        <w:t xml:space="preserve">) г.Бишкек, Дом Правительстваот 4 января 1997 года N 3            ПОСТАНОВЛЕНИЕ ПРАВИТЕЛЬСТВА КЫРГЫЗСКОЙ РЕСПУБЛИКИ                     О порядке транзитных перевозок             спирта и алкогольной продукции по таможенной                   территории Кыргызской Республики     В   целях   усиления  защиты  внутреннего  рынка  от   поступленияконтрабандным  путем спирта,  водно-спиртовых растворов, вино-водочныхи  коньячных  изделий, пива и ликеров, а также обеспечения надлежащегоконтроля  за  перемещением алкогольной продукции в режиме "таможенноготранзита"    в   условиях   прозрачности   границы   с   сопредельнымигосударствами  Правительство Кыргызской Республики постановляет:    1. Установить,  что перемещение спирта, водно-спиртовых растворов,вино-водочных   и   коньячных изделий,  пива и ликеров  по  территорииКыргызской  Республики в режиме "таможенного транзита"  осуществляетсятолько  при  условии внесения владельцем груза на депозитный расчетныйсчет  таможенного  органа залога,  равного сумме  акцизного  налога  иналога  на добавленную стоимость на перевозимый объем продукции.    2.  Государственной   таможенной   инспекции   при   ПравительствеКыргызской Республики:    - обеспечить  прием и сохранность залоговой суммы,  поступившей запродукцию, перемещаемую в режиме "таможенного транзита";    - обеспечить  незамедлительный  возврат  залоговой  суммы в полномобъеме  при  получении документов таможенного органа пункта назначенияо    растаможивании   груза   и   уплате   налогов,    предусмотренныхзаконодательством страны прибытия;    - в  случае  непредоставления документов,  подтверждающих прибытиегруза  к  пункту  назначения,  указанному в сопроводительных   товаро-транзитных документах, обращать залоговую сумму в доход государства  всоответствии с законодательством Кыргызской Республики.     Первый вице-премьер-министр    Кыргызской Республики                             К.Нанаев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ritfyzm1xyk7kmsmopl">
      <w:r>
        <w:rPr>
          <w:rFonts w:ascii="Arial" w:cs="Arial" w:eastAsia="Arial" w:hAnsi="Arial"/>
          <w:color w:val="132D3F"/>
          <w:sz w:val="16"/>
          <w:szCs w:val="16"/>
          <w:u w:val="single"/>
        </w:rPr>
        <w:t xml:space="preserve">dalil.kg/document/34069</w:t>
      </w:r>
    </w:hyperlink>
  </w:p>
  <w:p>
    <w:pPr>
      <w:spacing w:after="0" w:before="40"/>
      <w:jc w:val="center"/>
    </w:pPr>
    <w:hyperlink w:history="1" r:id="rIddygjk3-wp9kwdzo4inxf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j4cdkp5fhvcd6_lhps6" Type="http://schemas.openxmlformats.org/officeDocument/2006/relationships/hyperlink" Target="https://dalil.kg/document/580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ritfyzm1xyk7kmsmopl" Type="http://schemas.openxmlformats.org/officeDocument/2006/relationships/hyperlink" Target="https://dalil.kg/document/34069" TargetMode="External"/><Relationship Id="rIddygjk3-wp9kwdzo4inxf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2026-09-24T18:23:49.421Z</dcterms:created>
  <dcterms:modified xsi:type="dcterms:W3CDTF">2026-09-24T18:23:49.421Z</dcterms:modified>
</cp:coreProperties>
</file>

<file path=docProps/custom.xml><?xml version="1.0" encoding="utf-8"?>
<Properties xmlns="http://schemas.openxmlformats.org/officeDocument/2006/custom-properties" xmlns:vt="http://schemas.openxmlformats.org/officeDocument/2006/docPropsVTypes"/>
</file>