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 СИЛУ                    (В соответствии с Указом Президента КР                       </w:t>
      </w:r>
      <w:hyperlink w:history="1" r:id="rIdirxjyrilxvaaqjq9umc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августа 2002 года №202</w:t>
        </w:r>
      </w:hyperlink>
      <w:r>
        <w:rPr>
          <w:rFonts w:ascii="Arial" w:cs="Arial" w:eastAsia="Arial" w:hAnsi="Arial"/>
          <w:sz w:val="24"/>
          <w:szCs w:val="24"/>
        </w:rPr>
        <w:t xml:space="preserve">)  г.Бишкек, Дом Правительстваот 31 мая 2001 года УП N 179                  УКАЗ ПРЕЗИДЕНТА КЫРГЫЗСКОЙ РЕСПУБЛИКИ            О дальнейшем совершенствовании системы управления                     электроэнергетической отрасли      В целях дальнейшего бесперебойного обеспечения потребителей тепло-вой и электрической энергией, эффективной эксплуатации объектов энерго-системы,  создания конкурентной среды и упорядочения системы  государс-твенного регулирования в электроэнергетической отрасли, постановляю:     1. В </w:t>
      </w:r>
      <w:hyperlink w:history="1" r:id="rIdkgpcshfvkhjwauyij48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  совершенствованиисистемы управления электроэнергетической отрасли" от 8 января 1997 годаN 5:     - признать утратившими силу пункты 1, 2, 3, 5, 6;     - в абзаце третьем пункта 4 слова:  "каскада Токтогульских гидроэ-лектростанций, высоковольтных линий напряжением 110 киловольт и выше совсеми их подстанциями" заменить словами:  "не менее 93 процентов пакетаакций в акционерных обществах, образуемых на базе каскада Токтогульскихгидроэлектростанций,  высоковольтных линий напряжением 110 киловольт  ивыше со всеми их подстанциями акционерного общества "Кыргызэнерго".     2. Правительству Кыргызской Республики привести свои решения в со-ответствие с настоящим Указом.     3. Контроль за исполнением настоящего  Указа  возложить  на  отделэкономической политики Администрации Президента Кыргызской Республики.     4. Настоящий Указ вступает в силу со дня подписания.  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rxjyrilxvaaqjq9umc60" Type="http://schemas.openxmlformats.org/officeDocument/2006/relationships/hyperlink" Target="http://kodeks.duckdns.org/document/3837" TargetMode="External"/><Relationship Id="rIdkgpcshfvkhjwauyij48nu" Type="http://schemas.openxmlformats.org/officeDocument/2006/relationships/hyperlink" Target="http://kodeks.duckdns.org/document/4604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2026-09-23T12:29:19.290Z</dcterms:created>
  <dcterms:modified xsi:type="dcterms:W3CDTF">2026-09-23T12:29:19.290Z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