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p3sdvzxj-h3ui8mi5kxh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9 апреля 1996 года N 151            ПОСТАНОВЛЕНИЕ ПРАВИТЕЛЬСТВА КЫРГЫЗСКОЙ РЕСПУБЛИКИ                 О проекте Закона Кыргызской Республики        "О внесении изменений в Уголовно-процессуальный кодекс                        Кыргызской Республики"     Правительство Кыргызской Республики постановляет:    1.  Одобрить   проект  Закона Кыргызской  Республики  "О  внесенииизменений в Уголовно-процессуальный кодекс Кыргызской Республики".    2. Внести  указанный  законопроект  на рассмотрение Жогорку КенешаКыргызской Республики.     Премьер-министр Кыргызской Республики             А.Джумагулов                                  проект                       ЗАКОН КЫРГЫЗСКОЙ РЕСПУБЛИКИ             О внесении изменений в Уголовно-процессуальный                     Кодекс Кыргызской Республики     Законодательное  собрание  Жогорку  Кенеша  Кыргызской  Республикипостановляет:    I. Внести в Уголовно-процессуальный кодекс Кыргызской  Республики,утвержденный   Законом  Киргизский  ССР  от  29  декабря   1960   года/Ведомости  Верховного Совета Киргизской ССР, 1960 год, N 40,  ст.146/следующие изменения и дополнения:    1. В статье 69:    после  слов  "имеющих  существенные значение для  дела"  дополнитьсловами  "и  признанные таковыми постановлениями лица,   производящегодознание, следователя, прокурора, судьи или определением суда".    2. Статья 70 изложить в следующей редакции:    "Статья 70. Хранение вещественных доказательств     Вещественные  доказательства   должны  быть  подробно  описаны   впротоколах  осмотра,   в необходимых случаях засняты  на  видеопленку,либо  сфотографированы.  Вещественные  доказательства   приобщаются  кделу    особым    постановлением   лица,    производящего    дознание,следователя,    прокурора,  судьи  или  определением   суда,    и   повозможности должны хранится при уголовном деле.    Если те  или  иные предметы невозможно хранить при уголовном деле,они   должны   быть  сфотографированы,   засняты   на    пленку,    повозможности опечатаны и в этом виде храниться в месте, указанном лицомпроизводящим дознание,  следователем,  прокурором,  судьей или  судом,о чем в  деле должна иметься соответствующая справка.    Громоздкие  и  объемные вещественные доказательства  для  хранениякоторых  требуются  специальные складские помещения  или  хранилища  исвязанные  со значительными расходами по хранению, либо подвергающиесябыстрой порче, после выполнения всех следственных действий, сдаются  всоответствующие  учреждения для использования  по   назначению,   либореализуются   через    аукционы   на  основании   постановления   лицапроизводящего  дознание  или следователя  с  согласия  прокурора.  Принеобходимости  они возвращаются владельцу предметами того  же  рода  икачества или их стоимость возмещается по реализованным ценам.  Изъятыеиз  гражданского  оборота наркотические, отравляющие  и  радиоактивныевещества уничтожаются в установленном порядке".    3. Статью 71 изложить в следующей редакции    "Статья 71. Сроки хранения вещественных доказательств     Вещественные доказательства хранятся  до  вступления  приговора  взаконную   силу   или до истечения срока на обжалование  постановленияили   определения   о   прекращении  дела,   за   исключением   случаяпредусмотренного частью 3 статьи 70 настоящего Кодекса".    II. Настоящий Закон вступает в силу с момента его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7goasbjqotduqviskma">
      <w:r>
        <w:rPr>
          <w:rFonts w:ascii="Arial" w:cs="Arial" w:eastAsia="Arial" w:hAnsi="Arial"/>
          <w:color w:val="132D3F"/>
          <w:sz w:val="16"/>
          <w:szCs w:val="16"/>
          <w:u w:val="single"/>
        </w:rPr>
        <w:t xml:space="preserve">dalil.kg/document/35165</w:t>
      </w:r>
    </w:hyperlink>
  </w:p>
  <w:p>
    <w:pPr>
      <w:spacing w:after="0" w:before="40"/>
      <w:jc w:val="center"/>
    </w:pPr>
    <w:hyperlink w:history="1" r:id="rId79bzmcrzgntu3l1ryavk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3sdvzxj-h3ui8mi5kxh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7goasbjqotduqviskma" Type="http://schemas.openxmlformats.org/officeDocument/2006/relationships/hyperlink" Target="https://dalil.kg/document/35165" TargetMode="External"/><Relationship Id="rId79bzmcrzgntu3l1ryavk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2026-09-28T10:30:31.601Z</dcterms:created>
  <dcterms:modified xsi:type="dcterms:W3CDTF">2026-09-28T10:30:31.601Z</dcterms:modified>
</cp:coreProperties>
</file>

<file path=docProps/custom.xml><?xml version="1.0" encoding="utf-8"?>
<Properties xmlns="http://schemas.openxmlformats.org/officeDocument/2006/custom-properties" xmlns:vt="http://schemas.openxmlformats.org/officeDocument/2006/docPropsVTypes"/>
</file>