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klnqles4th1habnqho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20 сентября 2000 года № 77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льгот хозяйствующим субъектам,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осуществляющих строительство объектов, связанных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 празднованием юбилея "Ош-3000"</w:t>
      </w: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                         30 июня 2000 года</w:t>
      </w:r>
      <w:r>
        <w:rPr>
          <w:rFonts w:ascii="Arial" w:cs="Arial" w:eastAsia="Arial" w:hAnsi="Arial"/>
          <w:sz w:val="24"/>
          <w:szCs w:val="24"/>
        </w:rPr>
        <w:t xml:space="preserve">Собранием народных представителей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не рассмотрен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1.</w:t>
      </w:r>
      <w:r>
        <w:rPr>
          <w:rFonts w:ascii="Arial" w:cs="Arial" w:eastAsia="Arial" w:hAnsi="Arial"/>
          <w:sz w:val="24"/>
          <w:szCs w:val="24"/>
        </w:rPr>
        <w:t xml:space="preserve">             Освободить хозяйствующие субъекты, осуществляющие строительство объектов, связанных с празднованием юбилея "Ош-3000", от уплаты процентов, финансовых санкций за просроченную уплату налогов, предусмотренных статьями 63 и 64 Налогового кодекса Кыргызской Республики, возникшую по причине несвоевременного финансирования из государственного бюджета.</w:t>
      </w:r>
      <w:r>
        <w:rPr>
          <w:rFonts w:ascii="Arial" w:cs="Arial" w:eastAsia="Arial" w:hAnsi="Arial"/>
          <w:sz w:val="24"/>
          <w:szCs w:val="24"/>
        </w:rPr>
        <w:t xml:space="preserve">             Перечень хозяйствующих субъектов определяется Правительством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2.</w:t>
      </w:r>
      <w:r>
        <w:rPr>
          <w:rFonts w:ascii="Arial" w:cs="Arial" w:eastAsia="Arial" w:hAnsi="Arial"/>
          <w:sz w:val="24"/>
          <w:szCs w:val="24"/>
        </w:rPr>
        <w:t xml:space="preserve">             Совокупный годовой доход хозяйствующих субъектов, указанных в статье 1 настоящего Закона, уменьшается на сумму безвозмездно переданных ими материально-технических ресурсов, денежных средств, а также оказанных работ и услуг (кроме работ и услуг, связанных с обслуживанием во время проведения юбилея) Госдирекции "Ош-3000" при Правительстве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3.</w:t>
      </w:r>
      <w:r>
        <w:rPr>
          <w:rFonts w:ascii="Arial" w:cs="Arial" w:eastAsia="Arial" w:hAnsi="Arial"/>
          <w:sz w:val="24"/>
          <w:szCs w:val="24"/>
        </w:rPr>
        <w:t xml:space="preserve">             Настоящий Закон вступает в силу со дня подписания и распространяет свое действие на правоотношения, возникшие с 1 апреля 2000 года до начала проведения юбилея.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                                                       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nbmjlrjhjqdnybzmf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</w:t>
      </w:r>
    </w:hyperlink>
  </w:p>
  <w:p>
    <w:pPr>
      <w:spacing w:after="0" w:before="40"/>
      <w:jc w:val="center"/>
    </w:pPr>
    <w:hyperlink w:history="1" r:id="rId5ktr0rltiiipdkmv5zl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lnqles4th1habnqhoof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nbmjlrjhjqdnybzmf1c" Type="http://schemas.openxmlformats.org/officeDocument/2006/relationships/hyperlink" Target="https://dalil.kg/document/366" TargetMode="External"/><Relationship Id="rId5ktr0rltiiipdkmv5zl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2026-09-24T02:30:15.871Z</dcterms:created>
  <dcterms:modified xsi:type="dcterms:W3CDTF">2026-09-24T02:30:15.871Z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