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3cpkkag2emkeljimdxf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октября 1996 года N 499                               Утверждено                     </w:t>
      </w:r>
      <w:hyperlink w:history="1" r:id="rIdijpt3uq6xsefd5pa-woq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1994 года  N 161                                ПОЛОЖЕНИЕ         о порядке определения предполагаемой прибыли (дохода)                           I. Общие положения     1.   Настоящее  положение  устанавливает  единые  методологическиеосновы  определения предполагаемой прибыли (дохода)  для  предприятий,объединений и организаций, являющихся юридическими лицами,  независимоот    форм    собственности    и    физических    лиц,    занимающихсяпредпринимательской  деятельностью без образования юридического лица.    2. Положение о порядке определения предполагаемой прибыли (дохода)применяется  при  отсутствии систематического и  непрерывного  ведениябухгалтерского   учета или при возникновении сомнений в  достоверностиэтого учета, при отсутствии необходимых сопроводительных документов поприходу и расходу продукции, товаров и материальных ценностей (далее -материальных  ценностей) по предприятиям, учреждениям  и  организациямвсех форм собственности и физическим лицам (далее - плательщики).                     II. Методы сбора информации для                  определения предполагаемого дохода     3. Методы сбора информации могут быть прямыми и косвенными.    4. К прямым методам определения предполагаемого дохода относятся:    -    сопоставление    учета    материальных   ценностей   согласносопроводительным документам, по количеству и в стоимостном  выражении,с их отражением по заведенной у плательщика системе учета;    - определение суммы оборотов по приходу и  расходу  по  выявленнымсокрытым   расчетным,   валютным   и другим  счетам,  согласно  снятымкопиям выписок банков и сопроводительных документов;    -  приходование  на баланс материальных ценностей,  выявленных  натоварных  складах  и  в  других  помещениях,  не  отраженных  в  учетеплательщика,  согласно актам проверок, другим документам и приложеннымк  ним  ведомостям инвентаризации (описям) с указанием  в  них   видовматериальных ценностей, их количеством и стоимостью по рыночным ценам;    -     определение    стоимости    товаров    по    экспертным    ивнутриреспубликанским операциям на бартерной основе с момента отгрузкипо сопроводительным документам;    -   использование    актов   проверок  по  выявленным   нарушениямдействующего законодательства на рынках, ярмарках, улицах городов.    5.  При  применении  прямых  методов  определения  предполагаемогодохода доверенное лицо плательщика, чей доход уточняется, имеет  правоучаствовать во всех проводимых мероприятиях.    6.   К   косвенным  методам  определения  предполагаемого   доходаотносятся:    -      использование     письменном     информации     таможенных,правоохранительных  и других органов Кыргызской  Республики  и  другихгосударств;    - информация налоговых инспекций республики и стран СНГ;    - сведения,  поступающие от юридических лиц и граждан,  касающиесядеятельности налогоплательщика;    - определение сокрытых сумм доходов, путем  проведения  наблюдений(фотография, хронометрах, закупы, обмеры и т.п.).    7. Материалы,  накопленные  прямым и косвенным методами,  являютсяоснованием  для  взыскания сокрытых доходов и налогов в  установленномпорядке.    8. Для определения суммы  сокрытой  прибыли  (дохода)  применяетсярентабельность   в   размере   25   процентов  и  рыночной   стоимостисокрытой продукции, товаров, услуг.    9. В случае занижения (сокрытия)  налогооблагаемой  прибыли  суммафинансовой   санкции взыскивается в двойном размере, а  при  повторномнарушении  в  течении  года - в четырехкратном размере  от  выявленнойсуммы.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0_tynnoqhn9grxsaodp0">
      <w:r>
        <w:rPr>
          <w:rFonts w:ascii="Arial" w:cs="Arial" w:eastAsia="Arial" w:hAnsi="Arial"/>
          <w:color w:val="132D3F"/>
          <w:sz w:val="16"/>
          <w:szCs w:val="16"/>
          <w:u w:val="single"/>
        </w:rPr>
        <w:t xml:space="preserve">dalil.kg/document/37709</w:t>
      </w:r>
    </w:hyperlink>
  </w:p>
  <w:p>
    <w:pPr>
      <w:spacing w:after="0" w:before="40"/>
      <w:jc w:val="center"/>
    </w:pPr>
    <w:hyperlink w:history="1" r:id="rIdyys-ispvdyko2mtlxti4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3cpkkag2emkeljimdxfd" Type="http://schemas.openxmlformats.org/officeDocument/2006/relationships/hyperlink" Target="https://dalil.kg/document/35829" TargetMode="External"/><Relationship Id="rIdijpt3uq6xsefd5pa-woqo" Type="http://schemas.openxmlformats.org/officeDocument/2006/relationships/hyperlink" Target="https://dalil.kg/document/3693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0_tynnoqhn9grxsaodp0" Type="http://schemas.openxmlformats.org/officeDocument/2006/relationships/hyperlink" Target="https://dalil.kg/document/37709" TargetMode="External"/><Relationship Id="rIdyys-ispvdyko2mtlxti4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2026-09-24T02:29:31.654Z</dcterms:created>
  <dcterms:modified xsi:type="dcterms:W3CDTF">2026-09-24T02:29:31.654Z</dcterms:modified>
</cp:coreProperties>
</file>

<file path=docProps/custom.xml><?xml version="1.0" encoding="utf-8"?>
<Properties xmlns="http://schemas.openxmlformats.org/officeDocument/2006/custom-properties" xmlns:vt="http://schemas.openxmlformats.org/officeDocument/2006/docPropsVTypes"/>
</file>