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d8picjvsjfns9crhlz9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16 августа 2001 года N 451            ПОСТАНОВЛЕНИЕ ПРАВИТЕЛЬСТВА КЫРГЫЗСКОЙ РЕСПУБЛИКИ                 О проекте Закона Кыргызской Республики                           "Об аккредитивах"     Правительство Кыргызской Республики постановляет:    1.  Согласиться   с  проектом  Закона  Кыргызской  Республики  "Обаккредитивах".    2. Направить  вышеназванный  законопроект  на рассмотрение ЖогоркуКенеша Кыргызской Республики.    3. Назначить Сарбанова У.К. - председателя правления Национальногобанка     Кыргызской    Республики     официальным      представителемПравительства Кыргызской  Республики при рассмотрении данного  проектаЗакона палатами Жогорку Кенеша Кыргызской Республики.     Премьер-министр Кыргызской Республики             К.Бакиев                                  Проект                       ЗАКОН КЫРГЫЗСКОЙ РЕСПУБЛИКИ                             Об аккредитивах     Статья 1. Предмет регулирования настоящего Закона     Настоящий Закон  устанавливает  действие  на территории КыргызскойРеспублики   Унифицированных  правил  и  обычаев   для   документарныхаккредитивов,  подготовленных  Международной торговой палатой (Uniform</w:t>
      </w:r>
      <w:r>
        <w:rPr>
          <w:rFonts w:ascii="Arial" w:cs="Arial" w:eastAsia="Arial" w:hAnsi="Arial"/>
          <w:sz w:val="24"/>
          <w:szCs w:val="24"/>
        </w:rPr>
        <w:t xml:space="preserve">Customs And Practice For Documentary credits, UCP, ICC publication No.</w:t>
      </w:r>
      <w:r>
        <w:rPr>
          <w:rFonts w:ascii="Arial" w:cs="Arial" w:eastAsia="Arial" w:hAnsi="Arial"/>
          <w:sz w:val="24"/>
          <w:szCs w:val="24"/>
        </w:rPr>
        <w:t xml:space="preserve">500)     Статья 2. Основные понятия, используемые для целей настоящего                                Закона     1. Аккредитив  представляет  собой условное денежное обязательствобанка,   выдаваемое им по поручению клиента в пользу  его  контрагентапо  договору,  по  которому банк, открывший аккредитив (банк-эмитент),производит  поставщику  платеж  или предоставляет  полномочия  другомубанку   производить  такие  платежи  при  условии   представления   имдокументов,  предусмотренных в аккредитиве, и  при  выполнении  другихусловий аккредитива.    В  оговоренных   случаях  оплата получателю исполнительным  банкомможет  быть гарантирована другим банком (подтверждающим банком). Когдаисполняющий  банк  осуществляет платежи получателю (лицу,   указанномукак  "получатель") в соответствии с аккредитивом,  банк-эмитент  имеетобязательство  осуществить соответствующий платеж (плюс вознаграждениеисполняющего  банка)  исполняющему банку.  Если  исполняющий  банк  неоплатит   в  соответствии  со своими обязательствами,   подтверждающийбанк   имеет   обязательство  осуществить  платеж  (лицу,   указанному"получателем") при условии,  что исполняющему банку были  представленытребуемые и надлежащим образом оформленные документы.    2.   "Правила   МТП"  -  "Унифицированные  правила  и  обычаи  длядокументарных  аккредитивов",  подготовленный  Международной  торговойпалатой   в  редакции 1993 года или более поздней  редакции,  а  такжелюбой другой документ, изменяющий его положения, который в последующемможет    издаваться   Международной   торговой   палатой    (или    ееправопреемником).     Статья 3. Применимое право     1.   Правоотношения   по  аккредитивам  регулируются   Гражданскимкодексом   Кыргызской  Республики,   настоящим   Законом    КыргызскойРеспублики,   другими   законами  и  нормативными   правовыми   актамиКыргызской  Республики, издаваемыми на основании и  в  соответствии  сними,  а  также  международными договорами  согласно  законодательствуКыргызской Республики.    2. В случае отсутствия в условиях  аккредитива  ссылки  на  право,подлежащее    применению   по   аккредитиву,   применяются   положенияПравила МТП.  При разногласиях,  связанных с переводом Правил  МТП  нарусский язык,  будет  применяться версия на английском языке,  которыйявляется оригиналом.    3. Положения Правил МТП не применяются полностью или частично:    а) если аккредитив не соответствует положениям Правил  МТП  как  вцелом, так и в отношении его конкретных положений;    б) если условия аккредитива иным образом  противоречат  положениямПравил МТП.    4. Аккредитив,  открытый банком-резидентом Кыргызской  Республики,должен   рассматриваться  по форме и по содержанию  в  соответствии  сзаконодательством  Кыргызской Республики,  если  в   соответствии   состатьей  1198   Гражданского  кодекса Кыргызской  Республики  в  самомаккредитиве   не   будет   оговорено,  что  он   регулируется   другимзаконодательством.    Независимо  от  права, подлежащего применению  по  аккредитиву,  вслучае открытия аккредитива банком-резидентом Кыргызской Республики попоручению   клиента,   исполняющий  банк  или  банк,   участвующий   впроведении   аккредитивной  операции,  или   получатель   (или   лицо,назначенное  получателем)   в  дополнение к  любому  другому  средствусудебной защиты,  которые будут иметь место,  имеют право обратиться всудебные  органы  в  Кыргызской Республике, если возникнет  какой-либоспор  в отношении действительности аккредитива, условий его выполненияили любого другого вопроса.     Статья 4. Форма и условия аккредитива     1. Все аккредитивы должны содержать слово "аккредитив".  В  случаеоткрытия аккредитива:    - на кыргызском языке должно использоваться слово "аккредитив";    - на русском языке должно использоваться слово "аккредитив";    -  на  английском  языке должны использоваться  слова  "letter  ofcredit", либо "documentary credit";    -    на    другом    иностранном   языке   должна   использоватьсясоответствующая    терминология   на    этом    языке,    определеннаязаконодательством.    При открытии  аккредитива  одновременно  на  английском  и  другоминостранном   языке   текст  аккредитива  на  английском  языке  имеетпреимущественную силу.    2.   Любая   из   сторон  аккредитива  (плательщик,  банк-эмитент,исполняющий  банк,  получатель и любое лицо,  назначенное получателем)может по договоренности между собой определять условия аккредитива.  Вслучаях   не   полного   определения  сторонами  условий   аккредитиваприменяются  условия, предусмотренные Правилами МТП.    3.  При  открытии  аккредитива должны быть  соблюдены  минимальныетребования  по форме и условиям аккредитива,  определенным Гражданскимкодексом  Кыргызской Республики, настоящим Законом, другими  законами,нормативными актами Кыргызской Республики и Правилами МТП.     Статья 5. Обязательства сторон по аккредитиву     1.   Выдача    аккредитива  в  соответствии  с   законодательствомКыргызской   Республики   создает  права   и    обязательства    междусоответствующими  сторонами, которые могут быть исполнены  в  судебномпорядке в Кыргызской Республике.    Банк-эмитент несет  ответственность  по аккредитиву просто потому,что    он   открывает   аккредитив   и   подтверждающий   банк   несетответственность  по  аккредитиву просто потому,  что  он  подтверждаетоплату,   ответственность  таких банков не  требует  какой-либо  формыпринятия   или  подтверждения  исполнительного  банка  или  получателяаккредитива.    2.  В  соответствии  с аккредитивом, все участвующие  банки  имеютобязательство  осуществлять выплату в соответствии с аккредитивом  приусловии,    что   документы,   представленные  получателем,   являютсядокументами, которые  определены  в  аккредитиве  и соответственно  ниодна  из сторон аккредитива не имеет права отказаться от осуществлениявыплат  со   ссылкой на любые внешние факторы,  такие как невыполнениеили   нарушение  получателем  любого  обязательства  по    аккредитиву(включая   обязательство  получателя поставить  товары  или  поставитьтовары,  отвечающие требованиям конкретного качества)  и  ни  одна  изсторон  не  будет иметь возможность отказаться  от  своих обязательствпо  аккредитиву,   кроме  тех,   которые  указаны  в  аккредитиве  илисоответствуют   статьям   782-788   Гражданского  кодекса   КыргызскойРеспублики или Правилам МТП.    Если будут иметь место нарушения таких  обязательств,  то  стороныбудут   иметь  соответствующие права в соответствии  с  договором  илизаконодательством, из которых возникли обязательства.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cdvd3un_kck0cqngwbv">
      <w:r>
        <w:rPr>
          <w:rFonts w:ascii="Arial" w:cs="Arial" w:eastAsia="Arial" w:hAnsi="Arial"/>
          <w:color w:val="132D3F"/>
          <w:sz w:val="16"/>
          <w:szCs w:val="16"/>
          <w:u w:val="single"/>
        </w:rPr>
        <w:t xml:space="preserve">dalil.kg/document/38148</w:t>
      </w:r>
    </w:hyperlink>
  </w:p>
  <w:p>
    <w:pPr>
      <w:spacing w:after="0" w:before="40"/>
      <w:jc w:val="center"/>
    </w:pPr>
    <w:hyperlink w:history="1" r:id="rIdkwicxhfyxsy5qrzhq4mq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8picjvsjfns9crhlz9g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cdvd3un_kck0cqngwbv" Type="http://schemas.openxmlformats.org/officeDocument/2006/relationships/hyperlink" Target="https://dalil.kg/document/38148" TargetMode="External"/><Relationship Id="rIdkwicxhfyxsy5qrzhq4mq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2026-09-25T04:29:14.038Z</dcterms:created>
  <dcterms:modified xsi:type="dcterms:W3CDTF">2026-09-25T04:29:14.038Z</dcterms:modified>
</cp:coreProperties>
</file>

<file path=docProps/custom.xml><?xml version="1.0" encoding="utf-8"?>
<Properties xmlns="http://schemas.openxmlformats.org/officeDocument/2006/custom-properties" xmlns:vt="http://schemas.openxmlformats.org/officeDocument/2006/docPropsVTypes"/>
</file>