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ГРОЗДЕНСКИЙ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2016 года 31 октября № 209</w:t>
      </w:r>
    </w:p>
    <w:p>
      <w:pPr>
        <w:spacing w:after="120"/>
        <w:jc w:val="both"/>
      </w:pPr>
      <w:r>
        <w:rPr>
          <w:rFonts w:ascii="Arial" w:cs="Arial" w:eastAsia="Arial" w:hAnsi="Arial"/>
          <w:sz w:val="24"/>
          <w:szCs w:val="24"/>
        </w:rPr>
        <w:t xml:space="preserve">Об утверждении Устава местного сообщества Грозденского аиылиого аймака</w:t>
      </w:r>
    </w:p>
    <w:p>
      <w:pPr>
        <w:spacing w:after="120"/>
        <w:jc w:val="both"/>
      </w:pPr>
      <w:r>
        <w:rPr>
          <w:rFonts w:ascii="Arial" w:cs="Arial" w:eastAsia="Arial" w:hAnsi="Arial"/>
          <w:sz w:val="24"/>
          <w:szCs w:val="24"/>
        </w:rPr>
        <w:t xml:space="preserve">В соответствии со статьей 15 </w:t>
      </w:r>
      <w:hyperlink w:history="1" r:id="rIdpq1veuhfxiwr9hbt_e_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самоуправлений», обсудив проект Устава местного сообщества Грозденского айылного аймака Аламудунского района Чуйской области на сельских сходах/собраниях, с учетом поступивших предложений от местного сообщества, от депутатов айылного кенеша, заслушав заключение постоянных комиссий Грозденского аиылиого кенеша, руководствуясь пунктом 8 части 2 статьей 31 </w:t>
      </w:r>
      <w:hyperlink w:history="1" r:id="rIdvoicnjc4d1ul9leycdz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Грозденский айыльный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paclhecrp_pdyglwcv6wa">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Грозденского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Грозденского айылного аймака опубликовать на вебсайте Государственного</w:t>
      </w:r>
    </w:p>
    <w:p>
      <w:pPr>
        <w:spacing w:after="120"/>
        <w:jc w:val="both"/>
      </w:pPr>
      <w:r>
        <w:rPr>
          <w:rFonts w:ascii="Arial" w:cs="Arial" w:eastAsia="Arial" w:hAnsi="Arial"/>
          <w:sz w:val="24"/>
          <w:szCs w:val="24"/>
        </w:rPr>
        <w:t xml:space="preserve">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ответственного секретаря Грозденского айыл окмоту.</w:t>
      </w:r>
    </w:p>
    <w:p>
      <w:pPr>
        <w:spacing w:after="120"/>
        <w:jc w:val="both"/>
      </w:pPr>
      <w:r>
        <w:rPr>
          <w:rFonts w:ascii="Arial" w:cs="Arial" w:eastAsia="Arial" w:hAnsi="Arial"/>
          <w:sz w:val="24"/>
          <w:szCs w:val="24"/>
        </w:rPr>
        <w:t xml:space="preserve">4.Контроль за исполнением настоящего постановления возложить
 юедателя постоянной комиссии по бюджету Грозденского айылного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Штанько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both"/>
      </w:pPr>
      <w:r>
        <w:rPr>
          <w:rFonts w:ascii="Arial" w:cs="Arial" w:eastAsia="Arial" w:hAnsi="Arial"/>
          <w:sz w:val="24"/>
          <w:szCs w:val="24"/>
        </w:rPr>
        <w:t xml:space="preserve">УСТАВ </w:t>
      </w:r>
    </w:p>
    <w:p>
      <w:pPr>
        <w:spacing w:after="120"/>
        <w:jc w:val="both"/>
      </w:pPr>
      <w:r>
        <w:rPr>
          <w:rFonts w:ascii="Arial" w:cs="Arial" w:eastAsia="Arial" w:hAnsi="Arial"/>
          <w:sz w:val="24"/>
          <w:szCs w:val="24"/>
        </w:rPr>
        <w:t xml:space="preserve">местного сообщества Грозденского айылного аймака</w:t>
      </w:r>
    </w:p>
    <w:p>
      <w:pPr>
        <w:spacing w:after="120"/>
        <w:jc w:val="both"/>
      </w:pPr>
      <w:r>
        <w:rPr>
          <w:rFonts w:ascii="Arial" w:cs="Arial" w:eastAsia="Arial" w:hAnsi="Arial"/>
          <w:sz w:val="24"/>
          <w:szCs w:val="24"/>
        </w:rPr>
        <w:t xml:space="preserve">Аламудунского района Чуйской области</w:t>
      </w:r>
    </w:p>
    <w:p>
      <w:pPr>
        <w:spacing w:after="120"/>
        <w:jc w:val="both"/>
      </w:pPr>
      <w:r>
        <w:rPr>
          <w:rFonts w:ascii="Arial" w:cs="Arial" w:eastAsia="Arial" w:hAnsi="Arial"/>
          <w:b/>
          <w:bCs/>
          <w:sz w:val="24"/>
          <w:szCs w:val="24"/>
        </w:rPr>
        <w:t xml:space="preserve">I. Общие положения </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 </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 </w:t>
      </w:r>
    </w:p>
    <w:p>
      <w:pPr>
        <w:spacing w:after="120"/>
        <w:jc w:val="both"/>
      </w:pPr>
      <w:r>
        <w:rPr>
          <w:rFonts w:ascii="Arial" w:cs="Arial" w:eastAsia="Arial" w:hAnsi="Arial"/>
          <w:b/>
          <w:bCs/>
          <w:sz w:val="24"/>
          <w:szCs w:val="24"/>
        </w:rPr>
        <w:t xml:space="preserve">V. Экономическая основа местного самоуправления </w:t>
      </w:r>
    </w:p>
    <w:p>
      <w:pPr>
        <w:spacing w:after="120"/>
        <w:jc w:val="both"/>
      </w:pPr>
      <w:r>
        <w:rPr>
          <w:rFonts w:ascii="Arial" w:cs="Arial" w:eastAsia="Arial" w:hAnsi="Arial"/>
          <w:b/>
          <w:bCs/>
          <w:sz w:val="24"/>
          <w:szCs w:val="24"/>
        </w:rPr>
        <w:t xml:space="preserve">VI. Заключительные положения </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Грозденского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Грозденского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фактически проживающих на территории айылного аймака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10 (десяти) человек, образованная на добровольной основе 3</w:t>
      </w:r>
    </w:p>
    <w:p>
      <w:pPr>
        <w:spacing w:after="120"/>
        <w:jc w:val="both"/>
      </w:pPr>
      <w:r>
        <w:rPr>
          <w:rFonts w:ascii="Arial" w:cs="Arial" w:eastAsia="Arial" w:hAnsi="Arial"/>
          <w:sz w:val="24"/>
          <w:szCs w:val="24"/>
        </w:rPr>
        <w:t xml:space="preserve">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10 (десяти)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10 (десять)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Грозденского айылного аймака включает в себя следующие села:</w:t>
      </w:r>
    </w:p>
    <w:p>
      <w:pPr>
        <w:spacing w:after="120"/>
        <w:jc w:val="both"/>
      </w:pPr>
      <w:r>
        <w:rPr>
          <w:rFonts w:ascii="Arial" w:cs="Arial" w:eastAsia="Arial" w:hAnsi="Arial"/>
          <w:sz w:val="24"/>
          <w:szCs w:val="24"/>
        </w:rPr>
        <w:t xml:space="preserve">- Гроздь;</w:t>
      </w:r>
    </w:p>
    <w:p>
      <w:pPr>
        <w:spacing w:after="120"/>
        <w:jc w:val="both"/>
      </w:pPr>
      <w:r>
        <w:rPr>
          <w:rFonts w:ascii="Arial" w:cs="Arial" w:eastAsia="Arial" w:hAnsi="Arial"/>
          <w:sz w:val="24"/>
          <w:szCs w:val="24"/>
        </w:rPr>
        <w:t xml:space="preserve">- Бирдик;</w:t>
      </w:r>
    </w:p>
    <w:p>
      <w:pPr>
        <w:spacing w:after="120"/>
        <w:jc w:val="both"/>
      </w:pPr>
      <w:r>
        <w:rPr>
          <w:rFonts w:ascii="Arial" w:cs="Arial" w:eastAsia="Arial" w:hAnsi="Arial"/>
          <w:sz w:val="24"/>
          <w:szCs w:val="24"/>
        </w:rPr>
        <w:t xml:space="preserve">- Верхний Атбаши;</w:t>
      </w:r>
    </w:p>
    <w:p>
      <w:pPr>
        <w:spacing w:after="120"/>
        <w:jc w:val="both"/>
      </w:pPr>
      <w:r>
        <w:rPr>
          <w:rFonts w:ascii="Arial" w:cs="Arial" w:eastAsia="Arial" w:hAnsi="Arial"/>
          <w:sz w:val="24"/>
          <w:szCs w:val="24"/>
        </w:rPr>
        <w:t xml:space="preserve">- Вторая пятилетка;</w:t>
      </w:r>
    </w:p>
    <w:p>
      <w:pPr>
        <w:spacing w:after="120"/>
        <w:jc w:val="both"/>
      </w:pPr>
      <w:r>
        <w:rPr>
          <w:rFonts w:ascii="Arial" w:cs="Arial" w:eastAsia="Arial" w:hAnsi="Arial"/>
          <w:sz w:val="24"/>
          <w:szCs w:val="24"/>
        </w:rPr>
        <w:t xml:space="preserve">- Лесное.</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Грозденского айылного аймака, объединенные общими интересами под свою ответственность решать вопросы местного значения. 4</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Грозденского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 5</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данном айылном аймаке;</w:t>
      </w:r>
    </w:p>
    <w:p>
      <w:pPr>
        <w:spacing w:after="120"/>
        <w:jc w:val="both"/>
      </w:pPr>
      <w:r>
        <w:rPr>
          <w:rFonts w:ascii="Arial" w:cs="Arial" w:eastAsia="Arial" w:hAnsi="Arial"/>
          <w:sz w:val="24"/>
          <w:szCs w:val="24"/>
        </w:rPr>
        <w:t xml:space="preserve">- инициировать местным кенешам принятие соответствующих правил ограничивающих распространение алкогольной продукции и табачных изделий для несовершеннолетних и в ночное время в данном айылном аймаке в рамках статьи 31 Закона КР «О местном самоуправлении»;</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 6</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благоустройства, в том числе застройки, освещения, озеленения и санитарной очистки в населенном пункте и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соблюдать другие правила и процедуры установленные решениями органов местного самоуправления направленные на улучшение жизнеобеспечения в данном айылном аймаке.</w:t>
      </w:r>
    </w:p>
    <w:p>
      <w:pPr>
        <w:spacing w:after="120"/>
        <w:jc w:val="both"/>
      </w:pPr>
      <w:r>
        <w:rPr>
          <w:rFonts w:ascii="Arial" w:cs="Arial" w:eastAsia="Arial" w:hAnsi="Arial"/>
          <w:sz w:val="24"/>
          <w:szCs w:val="24"/>
        </w:rPr>
        <w:t xml:space="preserve">6.3. Запрещается нахождение детей в ночное время с 22:00 до 6:00 без сопровождения родителей (лиц, их заменяющих) или лиц, осуществляющих мероприятия с участием детей:</w:t>
      </w:r>
    </w:p>
    <w:p>
      <w:pPr>
        <w:spacing w:after="120"/>
        <w:jc w:val="both"/>
      </w:pPr>
      <w:r>
        <w:rPr>
          <w:rFonts w:ascii="Arial" w:cs="Arial" w:eastAsia="Arial" w:hAnsi="Arial"/>
          <w:sz w:val="24"/>
          <w:szCs w:val="24"/>
        </w:rPr>
        <w:t xml:space="preserve">- на улицах, стадионах, в парках, скверах;</w:t>
      </w:r>
    </w:p>
    <w:p>
      <w:pPr>
        <w:spacing w:after="120"/>
        <w:jc w:val="both"/>
      </w:pPr>
      <w:r>
        <w:rPr>
          <w:rFonts w:ascii="Arial" w:cs="Arial" w:eastAsia="Arial" w:hAnsi="Arial"/>
          <w:sz w:val="24"/>
          <w:szCs w:val="24"/>
        </w:rPr>
        <w:t xml:space="preserve">- в транспортных средствах общего пользования;</w:t>
      </w:r>
    </w:p>
    <w:p>
      <w:pPr>
        <w:spacing w:after="120"/>
        <w:jc w:val="both"/>
      </w:pPr>
      <w:r>
        <w:rPr>
          <w:rFonts w:ascii="Arial" w:cs="Arial" w:eastAsia="Arial" w:hAnsi="Arial"/>
          <w:sz w:val="24"/>
          <w:szCs w:val="24"/>
        </w:rPr>
        <w:t xml:space="preserve">- на водоемах и прилегающих к ним территориях;</w:t>
      </w:r>
    </w:p>
    <w:p>
      <w:pPr>
        <w:spacing w:after="120"/>
        <w:jc w:val="both"/>
      </w:pPr>
      <w:r>
        <w:rPr>
          <w:rFonts w:ascii="Arial" w:cs="Arial" w:eastAsia="Arial" w:hAnsi="Arial"/>
          <w:sz w:val="24"/>
          <w:szCs w:val="24"/>
        </w:rPr>
        <w:t xml:space="preserve">- в местах общего пользования многоквартирных жилых домов, на территориях, прилегающих к многоквартирным жилым домам, в том числе детских и спортивных площадках;</w:t>
      </w:r>
    </w:p>
    <w:p>
      <w:pPr>
        <w:spacing w:after="120"/>
        <w:jc w:val="both"/>
      </w:pPr>
      <w:r>
        <w:rPr>
          <w:rFonts w:ascii="Arial" w:cs="Arial" w:eastAsia="Arial" w:hAnsi="Arial"/>
          <w:sz w:val="24"/>
          <w:szCs w:val="24"/>
        </w:rPr>
        <w:t xml:space="preserve">- на объектах (на территориях, в помещениях) юридических лиц или индивидуальных предпринимателей, которые предназначены для обеспечения доступа к информационно-телекоммуникационной сети «Интернет» (в том числе в интернет-кафе, интернет-клубах).</w:t>
      </w:r>
    </w:p>
    <w:p>
      <w:pPr>
        <w:spacing w:after="120"/>
        <w:jc w:val="both"/>
      </w:pPr>
      <w:r>
        <w:rPr>
          <w:rFonts w:ascii="Arial" w:cs="Arial" w:eastAsia="Arial" w:hAnsi="Arial"/>
          <w:sz w:val="24"/>
          <w:szCs w:val="24"/>
        </w:rPr>
        <w:t xml:space="preserve">Данное положение не распространяется:</w:t>
      </w:r>
    </w:p>
    <w:p>
      <w:pPr>
        <w:spacing w:after="120"/>
        <w:jc w:val="both"/>
      </w:pPr>
      <w:r>
        <w:rPr>
          <w:rFonts w:ascii="Arial" w:cs="Arial" w:eastAsia="Arial" w:hAnsi="Arial"/>
          <w:sz w:val="24"/>
          <w:szCs w:val="24"/>
        </w:rPr>
        <w:t xml:space="preserve">- в ночное время с 31 декабря на 1 января;</w:t>
      </w:r>
    </w:p>
    <w:p>
      <w:pPr>
        <w:spacing w:after="120"/>
        <w:jc w:val="both"/>
      </w:pPr>
      <w:r>
        <w:rPr>
          <w:rFonts w:ascii="Arial" w:cs="Arial" w:eastAsia="Arial" w:hAnsi="Arial"/>
          <w:sz w:val="24"/>
          <w:szCs w:val="24"/>
        </w:rPr>
        <w:t xml:space="preserve">- во время проведения в общеобразовательных организациях и организациях начального профессионального образования торжественных мероприятий, посвященных завершению обучения по программам основного общего, среднего общего образования, 7</w:t>
      </w:r>
    </w:p>
    <w:p>
      <w:pPr>
        <w:spacing w:after="120"/>
        <w:jc w:val="both"/>
      </w:pPr>
      <w:r>
        <w:rPr>
          <w:rFonts w:ascii="Arial" w:cs="Arial" w:eastAsia="Arial" w:hAnsi="Arial"/>
          <w:sz w:val="24"/>
          <w:szCs w:val="24"/>
        </w:rPr>
        <w:t xml:space="preserve">начального профессионального образования в указанных организациях, в отношении выпускников указанных организаций;</w:t>
      </w:r>
    </w:p>
    <w:p>
      <w:pPr>
        <w:spacing w:after="120"/>
        <w:jc w:val="both"/>
      </w:pPr>
      <w:r>
        <w:rPr>
          <w:rFonts w:ascii="Arial" w:cs="Arial" w:eastAsia="Arial" w:hAnsi="Arial"/>
          <w:sz w:val="24"/>
          <w:szCs w:val="24"/>
        </w:rPr>
        <w:t xml:space="preserve">- во время проведения праздничных мероприятий, организуемых органами государственной власти.</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Грозденского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Грозденского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8</w:t>
      </w:r>
    </w:p>
    <w:p>
      <w:pPr>
        <w:spacing w:after="120"/>
        <w:jc w:val="both"/>
      </w:pPr>
      <w:r>
        <w:rPr>
          <w:rFonts w:ascii="Arial" w:cs="Arial" w:eastAsia="Arial" w:hAnsi="Arial"/>
          <w:sz w:val="24"/>
          <w:szCs w:val="24"/>
        </w:rPr>
        <w:t xml:space="preserve">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Грозденского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9</w:t>
      </w:r>
    </w:p>
    <w:p>
      <w:pPr>
        <w:spacing w:after="120"/>
        <w:jc w:val="both"/>
      </w:pPr>
      <w:r>
        <w:rPr>
          <w:rFonts w:ascii="Arial" w:cs="Arial" w:eastAsia="Arial" w:hAnsi="Arial"/>
          <w:sz w:val="24"/>
          <w:szCs w:val="24"/>
        </w:rPr>
        <w:t xml:space="preserve">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положения и процедуры в порядке, предусмотренном законодательством Кыргызской Республики, в частности:</w:t>
      </w:r>
    </w:p>
    <w:p>
      <w:pPr>
        <w:spacing w:after="120"/>
        <w:jc w:val="both"/>
      </w:pPr>
      <w:r>
        <w:rPr>
          <w:rFonts w:ascii="Arial" w:cs="Arial" w:eastAsia="Arial" w:hAnsi="Arial"/>
          <w:sz w:val="24"/>
          <w:szCs w:val="24"/>
        </w:rPr>
        <w:t xml:space="preserve">- Правила по благоустройству, освещению и озеленению территорий;</w:t>
      </w:r>
    </w:p>
    <w:p>
      <w:pPr>
        <w:spacing w:after="120"/>
        <w:jc w:val="both"/>
      </w:pPr>
      <w:r>
        <w:rPr>
          <w:rFonts w:ascii="Arial" w:cs="Arial" w:eastAsia="Arial" w:hAnsi="Arial"/>
          <w:sz w:val="24"/>
          <w:szCs w:val="24"/>
        </w:rPr>
        <w:t xml:space="preserve">- Правила и порядок использования питьевой и поливной воды;</w:t>
      </w:r>
    </w:p>
    <w:p>
      <w:pPr>
        <w:spacing w:after="120"/>
        <w:jc w:val="both"/>
      </w:pPr>
      <w:r>
        <w:rPr>
          <w:rFonts w:ascii="Arial" w:cs="Arial" w:eastAsia="Arial" w:hAnsi="Arial"/>
          <w:sz w:val="24"/>
          <w:szCs w:val="24"/>
        </w:rPr>
        <w:t xml:space="preserve">- Правила по санитарной очистке территорий;</w:t>
      </w:r>
    </w:p>
    <w:p>
      <w:pPr>
        <w:spacing w:after="120"/>
        <w:jc w:val="both"/>
      </w:pPr>
      <w:r>
        <w:rPr>
          <w:rFonts w:ascii="Arial" w:cs="Arial" w:eastAsia="Arial" w:hAnsi="Arial"/>
          <w:sz w:val="24"/>
          <w:szCs w:val="24"/>
        </w:rPr>
        <w:t xml:space="preserve">- Правила по содержанию домашних животных, крупно-рогатого скота, мелко-рогатого скота, собак и кошек;</w:t>
      </w:r>
    </w:p>
    <w:p>
      <w:pPr>
        <w:spacing w:after="120"/>
        <w:jc w:val="both"/>
      </w:pPr>
      <w:r>
        <w:rPr>
          <w:rFonts w:ascii="Arial" w:cs="Arial" w:eastAsia="Arial" w:hAnsi="Arial"/>
          <w:sz w:val="24"/>
          <w:szCs w:val="24"/>
        </w:rPr>
        <w:t xml:space="preserve">- Положение о квартальных комитетах, о добровольных народных дружинах (ДНД) и общественных профилактических центрах (ОПЦ);</w:t>
      </w:r>
    </w:p>
    <w:p>
      <w:pPr>
        <w:spacing w:after="120"/>
        <w:jc w:val="both"/>
      </w:pPr>
      <w:r>
        <w:rPr>
          <w:rFonts w:ascii="Arial" w:cs="Arial" w:eastAsia="Arial" w:hAnsi="Arial"/>
          <w:sz w:val="24"/>
          <w:szCs w:val="24"/>
        </w:rPr>
        <w:t xml:space="preserve">- Положение административной комиссии;</w:t>
      </w:r>
    </w:p>
    <w:p>
      <w:pPr>
        <w:spacing w:after="120"/>
        <w:jc w:val="both"/>
      </w:pPr>
      <w:r>
        <w:rPr>
          <w:rFonts w:ascii="Arial" w:cs="Arial" w:eastAsia="Arial" w:hAnsi="Arial"/>
          <w:sz w:val="24"/>
          <w:szCs w:val="24"/>
        </w:rPr>
        <w:t xml:space="preserve">- и другие правила и процедуры, не противоречащие законодательству КР и регламентирующие основы жизнедеятельности членов местного сообщества.</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 10</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10 (десяти) человек. Членами инициативной группы могут быть члены местного сообщества, проживающие на территории айылного аймака и достигшие 18 лет. 11</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 12</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16.1. 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 13</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10 (десяти) человек.</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 15</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сельский сход Грозденского айылного аймака правомочно, если в нем принимают участие не менее 100 (ста) жителей айылного аймака или не менее 50 (пятидесяти) процентов представителей, приглашенных на сход айылного аймака. В 16</w:t>
      </w:r>
    </w:p>
    <w:p>
      <w:pPr>
        <w:spacing w:after="120"/>
        <w:jc w:val="both"/>
      </w:pPr>
      <w:r>
        <w:rPr>
          <w:rFonts w:ascii="Arial" w:cs="Arial" w:eastAsia="Arial" w:hAnsi="Arial"/>
          <w:sz w:val="24"/>
          <w:szCs w:val="24"/>
        </w:rPr>
        <w:t xml:space="preserve">случае проведение схода на территории одной улицы или одного села не менее 25 процентов приглашенных на сход.</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35 процентов представителей,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 18</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 19</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 20</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21</w:t>
      </w:r>
    </w:p>
    <w:p>
      <w:pPr>
        <w:spacing w:after="120"/>
        <w:jc w:val="both"/>
      </w:pPr>
      <w:r>
        <w:rPr>
          <w:rFonts w:ascii="Arial" w:cs="Arial" w:eastAsia="Arial" w:hAnsi="Arial"/>
          <w:sz w:val="24"/>
          <w:szCs w:val="24"/>
        </w:rPr>
        <w:t xml:space="preserve">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22</w:t>
      </w:r>
    </w:p>
    <w:p>
      <w:pPr>
        <w:spacing w:after="120"/>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 23</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 24</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и несовершеннолетним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25</w:t>
      </w:r>
    </w:p>
    <w:p>
      <w:pPr>
        <w:spacing w:after="120"/>
        <w:jc w:val="both"/>
      </w:pPr>
      <w:r>
        <w:rPr>
          <w:rFonts w:ascii="Arial" w:cs="Arial" w:eastAsia="Arial" w:hAnsi="Arial"/>
          <w:sz w:val="24"/>
          <w:szCs w:val="24"/>
        </w:rPr>
        <w:t xml:space="preserve">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Гроздненского 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Гроздненским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Гроздненского айыл окмоту после доработки окончательного варианта проекта Устава вносит на рассмотрение Гроздненского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 26</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Гроздненского айылного кенеша численностью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 Гроздненского айылного аймака.</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xf_oprarvgyr_0fslpi">
      <w:r>
        <w:rPr>
          <w:rFonts w:ascii="Arial" w:cs="Arial" w:eastAsia="Arial" w:hAnsi="Arial"/>
          <w:color w:val="132D3F"/>
          <w:sz w:val="16"/>
          <w:szCs w:val="16"/>
          <w:u w:val="single"/>
        </w:rPr>
        <w:t xml:space="preserve">dalil.kg/document/40206</w:t>
      </w:r>
    </w:hyperlink>
  </w:p>
  <w:p>
    <w:pPr>
      <w:spacing w:after="0" w:before="40"/>
      <w:jc w:val="center"/>
    </w:pPr>
    <w:hyperlink w:history="1" r:id="rId3xwvsuahfuwvbl2ainz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1veuhfxiwr9hbt_e_zp" Type="http://schemas.openxmlformats.org/officeDocument/2006/relationships/hyperlink" Target="https://dalil.kg/document/203102" TargetMode="External"/><Relationship Id="rIdvoicnjc4d1ul9leycdzfj" Type="http://schemas.openxmlformats.org/officeDocument/2006/relationships/hyperlink" Target="https://dalil.kg/document/203102" TargetMode="External"/><Relationship Id="rIdpaclhecrp_pdyglwcv6wa" Type="http://schemas.openxmlformats.org/officeDocument/2006/relationships/hyperlink" Target="https://dalil.kg/document/40206#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xf_oprarvgyr_0fslpi" Type="http://schemas.openxmlformats.org/officeDocument/2006/relationships/hyperlink" Target="https://dalil.kg/document/40206" TargetMode="External"/><Relationship Id="rId3xwvsuahfuwvbl2ainz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2026-10-04T17:58:12.499Z</dcterms:created>
  <dcterms:modified xsi:type="dcterms:W3CDTF">2026-10-04T17:58:12.499Z</dcterms:modified>
</cp:coreProperties>
</file>

<file path=docProps/custom.xml><?xml version="1.0" encoding="utf-8"?>
<Properties xmlns="http://schemas.openxmlformats.org/officeDocument/2006/custom-properties" xmlns:vt="http://schemas.openxmlformats.org/officeDocument/2006/docPropsVTypes"/>
</file>