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94xefika3xfacjo5ngj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КР</w:t>
      </w:r>
    </w:p>
    <w:p>
      <w:pPr>
        <w:spacing w:after="120"/>
        <w:jc w:val="both"/>
      </w:pPr>
      <w:r>
        <w:rPr>
          <w:rFonts w:ascii="Arial" w:cs="Arial" w:eastAsia="Arial" w:hAnsi="Arial"/>
          <w:sz w:val="24"/>
          <w:szCs w:val="24"/>
        </w:rPr>
        <w:t xml:space="preserve">от 6 ноября 2016 года №190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февраля 2012 года № 24</w:t>
      </w:r>
    </w:p>
    <w:p>
      <w:pPr>
        <w:spacing w:after="120"/>
        <w:jc w:val="both"/>
      </w:pPr>
      <w:r>
        <w:rPr>
          <w:rFonts w:ascii="Arial" w:cs="Arial" w:eastAsia="Arial" w:hAnsi="Arial"/>
          <w:sz w:val="24"/>
          <w:szCs w:val="24"/>
        </w:rPr>
        <w:t xml:space="preserve">Об утверждении "Инструкции по контролю за соблюдением правил ведения предвыборной агитации 
 на выборах депутатов местных кенешей"</w:t>
      </w:r>
    </w:p>
    <w:p>
      <w:pPr>
        <w:spacing w:after="120"/>
        <w:jc w:val="both"/>
      </w:pPr>
      <w:r>
        <w:rPr>
          <w:rFonts w:ascii="Arial" w:cs="Arial" w:eastAsia="Arial" w:hAnsi="Arial"/>
          <w:sz w:val="24"/>
          <w:szCs w:val="24"/>
        </w:rPr>
        <w:t xml:space="preserve">В соответствии со статьями 22-28 </w:t>
      </w:r>
      <w:hyperlink w:history="1" r:id="rIdb1aseyyjo8f5tuhrxx5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Кыргызской Республики", руководствуясь пунктами 1, 2 части 1 статьи 7 </w:t>
      </w:r>
      <w:hyperlink w:history="1" r:id="rIdfstguqv3ql1nsw6ybtp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в целях соблюдения требований избирательного законодательства Кыргызской Республики на выборах депутатов местных кенешей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"Инструкцию по контролю за соблюдением правил ведения предвыборной агитации на выборах депутатов местных кенешей Кыргызской Республики" (прилагается).</w:t>
      </w:r>
    </w:p>
    <w:p>
      <w:pPr>
        <w:spacing w:after="120"/>
        <w:jc w:val="both"/>
      </w:pPr>
      <w:r>
        <w:rPr>
          <w:rFonts w:ascii="Arial" w:cs="Arial" w:eastAsia="Arial" w:hAnsi="Arial"/>
          <w:sz w:val="24"/>
          <w:szCs w:val="24"/>
        </w:rPr>
        <w:t xml:space="preserve">2. Опубликовать настоящее постановление и утвержденную "Инструкцию по контролю за соблюдением правил ведения предвыборной агитации на выборах депутатов местных кенешей Кыргызской Республики" в газете "Эркин Too"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постановлением Центральной
 комиссии по выборам и
 проведению референдумов
 Кыргызской Республики
 от 2 февраля 2012 года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контролю за соблюдением правил ведения предвыборной агитации на выборах депутатов местных кенешей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Настоящая Инструкция разработана в соответствии с требованиями Закона Кыргызской Республики "О выборах депутатов местных кенешей Кыргызской Республики" (далее - Закон о выборах депутатов местных кенешей), и регламентирует порядок и условия проведения предвыборной агитации в период подготовки и проведения выборов депутатов местных кенешей Кыргызской Республики.</w:t>
      </w:r>
    </w:p>
    <w:p>
      <w:pPr>
        <w:spacing w:after="120"/>
        <w:jc w:val="both"/>
      </w:pPr>
      <w:r>
        <w:rPr>
          <w:rFonts w:ascii="Arial" w:cs="Arial" w:eastAsia="Arial" w:hAnsi="Arial"/>
          <w:sz w:val="24"/>
          <w:szCs w:val="24"/>
        </w:rPr>
        <w:t xml:space="preserve">2. Во исполнение части 1 статьи 28 Закона Кыргызской Республики "О выборах депутатов местных кенешей Кыргызской Республики" создаются Рабочие группы по контролю за соблюдением правил ведения предвыборной агитации на выборах депутатов местных кенешей Кыргызской Республики при территориальных избирательных комиссиях.</w:t>
      </w:r>
    </w:p>
    <w:p>
      <w:pPr>
        <w:spacing w:after="120"/>
        <w:jc w:val="both"/>
      </w:pPr>
      <w:r>
        <w:rPr>
          <w:rFonts w:ascii="Arial" w:cs="Arial" w:eastAsia="Arial" w:hAnsi="Arial"/>
          <w:sz w:val="24"/>
          <w:szCs w:val="24"/>
        </w:rPr>
        <w:t xml:space="preserve">3. Рабочая группа в своей деятельности руководствуется Конституцией Кыргызской Республики, Законом Кыргызской Республики "О выборах депутатов местных кенешей Кыргызской Республики", Законом Кыргызской Республики "Об избирательных комиссиях по проведению выборов и референдумов Кыргызской Республики", Законом Кыргызской Республики "О средствах массовой информации", и настоящей Инструкцией.</w:t>
      </w:r>
    </w:p>
    <w:p>
      <w:pPr>
        <w:spacing w:after="120"/>
        <w:jc w:val="both"/>
      </w:pPr>
      <w:r>
        <w:rPr>
          <w:rFonts w:ascii="Arial" w:cs="Arial" w:eastAsia="Arial" w:hAnsi="Arial"/>
          <w:sz w:val="24"/>
          <w:szCs w:val="24"/>
        </w:rPr>
        <w:t xml:space="preserve">4. В инструкции используются следующие термины:</w:t>
      </w:r>
    </w:p>
    <w:p>
      <w:pPr>
        <w:spacing w:after="120"/>
        <w:jc w:val="left"/>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120"/>
        <w:jc w:val="left"/>
      </w:pPr>
      <w:r>
        <w:rPr>
          <w:rFonts w:ascii="Arial" w:cs="Arial" w:eastAsia="Arial" w:hAnsi="Arial"/>
          <w:b/>
          <w:bCs/>
          <w:sz w:val="24"/>
          <w:szCs w:val="24"/>
        </w:rPr>
        <w:t xml:space="preserve">билборд</w:t>
      </w:r>
      <w:r>
        <w:rPr>
          <w:rFonts w:ascii="Arial" w:cs="Arial" w:eastAsia="Arial" w:hAnsi="Arial"/>
          <w:sz w:val="24"/>
          <w:szCs w:val="24"/>
        </w:rPr>
        <w:t xml:space="preserve"> - термин используется для размещения наружной рекламы, устанавливаемой вдоль трасс, улиц. Щит представляет собой раму, обитую листами стали или фанеры, покрытую атмосфероустойчивыми составами, закрепленную на опоре;</w:t>
      </w:r>
    </w:p>
    <w:p>
      <w:pPr>
        <w:spacing w:after="120"/>
        <w:jc w:val="left"/>
      </w:pPr>
      <w:r>
        <w:rPr>
          <w:rFonts w:ascii="Arial" w:cs="Arial" w:eastAsia="Arial" w:hAnsi="Arial"/>
          <w:b/>
          <w:bCs/>
          <w:sz w:val="24"/>
          <w:szCs w:val="24"/>
        </w:rPr>
        <w:t xml:space="preserve">брошюра</w:t>
      </w:r>
      <w:r>
        <w:rPr>
          <w:rFonts w:ascii="Arial" w:cs="Arial" w:eastAsia="Arial" w:hAnsi="Arial"/>
          <w:sz w:val="24"/>
          <w:szCs w:val="24"/>
        </w:rPr>
        <w:t xml:space="preserve"> - текстовое книжное издание объёмом свыше 4, но не более 48 страниц, без твердого переплёта, в обложке, в которой содержится полная информация о кандидатах, а также кандидатах политических партий, группы избирателей;</w:t>
      </w:r>
    </w:p>
    <w:p>
      <w:pPr>
        <w:spacing w:after="120"/>
        <w:jc w:val="left"/>
      </w:pPr>
      <w:r>
        <w:rPr>
          <w:rFonts w:ascii="Arial" w:cs="Arial" w:eastAsia="Arial" w:hAnsi="Arial"/>
          <w:b/>
          <w:bCs/>
          <w:sz w:val="24"/>
          <w:szCs w:val="24"/>
        </w:rPr>
        <w:t xml:space="preserve">буклет</w:t>
      </w:r>
      <w:r>
        <w:rPr>
          <w:rFonts w:ascii="Arial" w:cs="Arial" w:eastAsia="Arial" w:hAnsi="Arial"/>
          <w:sz w:val="24"/>
          <w:szCs w:val="24"/>
        </w:rPr>
        <w:t xml:space="preserve"> - категория печатной продукции, которая не определяется конкретным видом, но имеет общую характеристику, многополосность (печатная полоса - страница с размещенной на ней информацией, с 1 сгибом является 4 полосным изданием);</w:t>
      </w:r>
    </w:p>
    <w:p>
      <w:pPr>
        <w:spacing w:after="120"/>
        <w:jc w:val="left"/>
      </w:pPr>
      <w:r>
        <w:rPr>
          <w:rFonts w:ascii="Arial" w:cs="Arial" w:eastAsia="Arial" w:hAnsi="Arial"/>
          <w:b/>
          <w:bCs/>
          <w:sz w:val="24"/>
          <w:szCs w:val="24"/>
        </w:rPr>
        <w:t xml:space="preserve">дискуссия</w:t>
      </w:r>
      <w:r>
        <w:rPr>
          <w:rFonts w:ascii="Arial" w:cs="Arial" w:eastAsia="Arial" w:hAnsi="Arial"/>
          <w:sz w:val="24"/>
          <w:szCs w:val="24"/>
        </w:rPr>
        <w:t xml:space="preserve"> - публичное обсуждение каких-либо вопросов на собрании, в печати, в беседе с оппонентом;</w:t>
      </w:r>
    </w:p>
    <w:p>
      <w:pPr>
        <w:spacing w:after="120"/>
        <w:jc w:val="both"/>
      </w:pPr>
      <w:r>
        <w:rPr>
          <w:rFonts w:ascii="Arial" w:cs="Arial" w:eastAsia="Arial" w:hAnsi="Arial"/>
          <w:sz w:val="24"/>
          <w:szCs w:val="24"/>
        </w:rPr>
        <w:t xml:space="preserve">информационное обеспечение выборов - информирование избирателей и предвыборная агитация, способствующие осознанному волеизъявлению граждан, гласности выборов;</w:t>
      </w:r>
    </w:p>
    <w:p>
      <w:pPr>
        <w:spacing w:after="120"/>
        <w:jc w:val="left"/>
      </w:pPr>
      <w:r>
        <w:rPr>
          <w:rFonts w:ascii="Arial" w:cs="Arial" w:eastAsia="Arial" w:hAnsi="Arial"/>
          <w:b/>
          <w:bCs/>
          <w:sz w:val="24"/>
          <w:szCs w:val="24"/>
        </w:rPr>
        <w:t xml:space="preserve">листовка</w:t>
      </w:r>
      <w:r>
        <w:rPr>
          <w:rFonts w:ascii="Arial" w:cs="Arial" w:eastAsia="Arial" w:hAnsi="Arial"/>
          <w:sz w:val="24"/>
          <w:szCs w:val="24"/>
        </w:rPr>
        <w:t xml:space="preserve"> - вид агитационно-политической или информационной литературы;</w:t>
      </w:r>
    </w:p>
    <w:p>
      <w:pPr>
        <w:spacing w:after="120"/>
        <w:jc w:val="left"/>
      </w:pPr>
      <w:r>
        <w:rPr>
          <w:rFonts w:ascii="Arial" w:cs="Arial" w:eastAsia="Arial" w:hAnsi="Arial"/>
          <w:b/>
          <w:bCs/>
          <w:sz w:val="24"/>
          <w:szCs w:val="24"/>
        </w:rPr>
        <w:t xml:space="preserve">плакат</w:t>
      </w:r>
      <w:r>
        <w:rPr>
          <w:rFonts w:ascii="Arial" w:cs="Arial" w:eastAsia="Arial" w:hAnsi="Arial"/>
          <w:sz w:val="24"/>
          <w:szCs w:val="24"/>
        </w:rPr>
        <w:t xml:space="preserve"> - крупноформатное изображение, сопровожденное кратким текстом, сделанное в агитационных, рекламных, информационных или учебных целях;</w:t>
      </w:r>
    </w:p>
    <w:p>
      <w:pPr>
        <w:spacing w:after="120"/>
        <w:jc w:val="left"/>
      </w:pPr>
      <w:r>
        <w:rPr>
          <w:rFonts w:ascii="Arial" w:cs="Arial" w:eastAsia="Arial" w:hAnsi="Arial"/>
          <w:b/>
          <w:bCs/>
          <w:sz w:val="24"/>
          <w:szCs w:val="24"/>
        </w:rPr>
        <w:t xml:space="preserve">предвыборная агитация</w:t>
      </w:r>
      <w:r>
        <w:rPr>
          <w:rFonts w:ascii="Arial" w:cs="Arial" w:eastAsia="Arial" w:hAnsi="Arial"/>
          <w:sz w:val="24"/>
          <w:szCs w:val="24"/>
        </w:rPr>
        <w:t xml:space="preserve"> - деятельность граждан Кыргызской Республики, кандидатов, уполномоченных представителей и доверенных лиц кандидатов, политических партий, групп избирателей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(списков кандидатов) либо против них;</w:t>
      </w:r>
    </w:p>
    <w:p>
      <w:pPr>
        <w:spacing w:after="120"/>
        <w:jc w:val="left"/>
      </w:pPr>
      <w:r>
        <w:rPr>
          <w:rFonts w:ascii="Arial" w:cs="Arial" w:eastAsia="Arial" w:hAnsi="Arial"/>
          <w:b/>
          <w:bCs/>
          <w:sz w:val="24"/>
          <w:szCs w:val="24"/>
        </w:rPr>
        <w:t xml:space="preserve">предвыборный штаб</w:t>
      </w:r>
      <w:r>
        <w:rPr>
          <w:rFonts w:ascii="Arial" w:cs="Arial" w:eastAsia="Arial" w:hAnsi="Arial"/>
          <w:sz w:val="24"/>
          <w:szCs w:val="24"/>
        </w:rPr>
        <w:t xml:space="preserve"> - временный коллектив людей, объединенных задачей добиться наилучшего результата кандидата, политической партии, а также место основного размещения этого коллектива;</w:t>
      </w:r>
    </w:p>
    <w:p>
      <w:pPr>
        <w:spacing w:after="120"/>
        <w:jc w:val="left"/>
      </w:pPr>
      <w:r>
        <w:rPr>
          <w:rFonts w:ascii="Arial" w:cs="Arial" w:eastAsia="Arial" w:hAnsi="Arial"/>
          <w:b/>
          <w:bCs/>
          <w:sz w:val="24"/>
          <w:szCs w:val="24"/>
        </w:rPr>
        <w:t xml:space="preserve">публичные дебаты</w:t>
      </w:r>
      <w:r>
        <w:rPr>
          <w:rFonts w:ascii="Arial" w:cs="Arial" w:eastAsia="Arial" w:hAnsi="Arial"/>
          <w:sz w:val="24"/>
          <w:szCs w:val="24"/>
        </w:rPr>
        <w:t xml:space="preserve"> - публичный обмен мнениями двух и более кандидатов, кандидатов политических партий, по различным общественно - значимым вопросам, в том числе, касающихся предвыборных программ кандидатов, политических партий, групп избирателей, озвученных в ходе публичного обмена мнениями.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Предвыборная агитация</w:t>
      </w:r>
    </w:p>
    <w:p>
      <w:pPr>
        <w:spacing w:after="120"/>
        <w:jc w:val="both"/>
      </w:pPr>
      <w:r>
        <w:rPr>
          <w:rFonts w:ascii="Arial" w:cs="Arial" w:eastAsia="Arial" w:hAnsi="Arial"/>
          <w:sz w:val="24"/>
          <w:szCs w:val="24"/>
        </w:rPr>
        <w:t xml:space="preserve">1. 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групп избирателей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(списков кандидатов) либо против них.</w:t>
      </w:r>
    </w:p>
    <w:p>
      <w:pPr>
        <w:spacing w:after="120"/>
        <w:jc w:val="both"/>
      </w:pPr>
      <w:r>
        <w:rPr>
          <w:rFonts w:ascii="Arial" w:cs="Arial" w:eastAsia="Arial" w:hAnsi="Arial"/>
          <w:sz w:val="24"/>
          <w:szCs w:val="24"/>
        </w:rPr>
        <w:t xml:space="preserve">2. Гражданам Кыргызской Республики, кандидатам, политическим партиям, группам избирателей при проведении выборов государством обеспечивается свободное проведение агитации в соответствии с Законом о выборах депутатов местных кенешей, законами Кыргызской Республики.</w:t>
      </w:r>
    </w:p>
    <w:p>
      <w:pPr>
        <w:spacing w:after="120"/>
        <w:jc w:val="both"/>
      </w:pPr>
      <w:r>
        <w:rPr>
          <w:rFonts w:ascii="Arial" w:cs="Arial" w:eastAsia="Arial" w:hAnsi="Arial"/>
          <w:sz w:val="24"/>
          <w:szCs w:val="24"/>
        </w:rPr>
        <w:t xml:space="preserve">3. Граждане Кыргызской Республики, кандидаты, политические партии, группы избирателей вправе проводить агитацию за участие в выборах, за или против любого кандидата, свободно и всесторонне обсуждать предвыборные программы кандидатов, политических партий или групп избирателей.</w:t>
      </w:r>
    </w:p>
    <w:p>
      <w:pPr>
        <w:spacing w:after="120"/>
        <w:jc w:val="both"/>
      </w:pPr>
      <w:r>
        <w:rPr>
          <w:rFonts w:ascii="Arial" w:cs="Arial" w:eastAsia="Arial" w:hAnsi="Arial"/>
          <w:sz w:val="24"/>
          <w:szCs w:val="24"/>
        </w:rPr>
        <w:t xml:space="preserve">4. Агитация может проводиться на собраниях, митингах и через средства массовой информации. Формы и методы проведения агитации должны соответствовать законодательству Кыргызской Республики. Избирательные комиссии должны обеспечить проведение агитации и встреч с избирателями.</w:t>
      </w:r>
    </w:p>
    <w:p>
      <w:pPr>
        <w:spacing w:after="120"/>
        <w:jc w:val="both"/>
      </w:pPr>
      <w:r>
        <w:rPr>
          <w:rFonts w:ascii="Arial" w:cs="Arial" w:eastAsia="Arial" w:hAnsi="Arial"/>
          <w:sz w:val="24"/>
          <w:szCs w:val="24"/>
        </w:rPr>
        <w:t xml:space="preserve">5. Для проведения агитации государственные органы и органы местного самоуправления за счет средств республиканского бюджета должны предоставить помещение, соответствующее всем требованиям проведения встреч помещение, места или площади для вывешивания агитационных материалов.</w:t>
      </w:r>
    </w:p>
    <w:p>
      <w:pPr>
        <w:spacing w:after="120"/>
        <w:jc w:val="both"/>
      </w:pPr>
      <w:r>
        <w:rPr>
          <w:rFonts w:ascii="Arial" w:cs="Arial" w:eastAsia="Arial" w:hAnsi="Arial"/>
          <w:sz w:val="24"/>
          <w:szCs w:val="24"/>
        </w:rPr>
        <w:t xml:space="preserve">6.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 При проведении повторного голосования предвыборная агитация возобновляется с момента принятия решения о назначении повторного голосования и прекращается за 24 часа до начала повторного голосования.</w:t>
      </w:r>
    </w:p>
    <w:p>
      <w:pPr>
        <w:spacing w:after="120"/>
        <w:jc w:val="both"/>
      </w:pPr>
      <w:r>
        <w:rPr>
          <w:rFonts w:ascii="Arial" w:cs="Arial" w:eastAsia="Arial" w:hAnsi="Arial"/>
          <w:sz w:val="24"/>
          <w:szCs w:val="24"/>
        </w:rPr>
        <w:t xml:space="preserve">7.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120"/>
        <w:jc w:val="both"/>
      </w:pPr>
      <w:r>
        <w:rPr>
          <w:rFonts w:ascii="Arial" w:cs="Arial" w:eastAsia="Arial" w:hAnsi="Arial"/>
          <w:sz w:val="24"/>
          <w:szCs w:val="24"/>
        </w:rPr>
        <w:t xml:space="preserve">8. Предвыборной агитацией признаются:</w:t>
      </w:r>
    </w:p>
    <w:p>
      <w:pPr>
        <w:spacing w:after="120"/>
        <w:jc w:val="both"/>
      </w:pPr>
      <w:r>
        <w:rPr>
          <w:rFonts w:ascii="Arial" w:cs="Arial" w:eastAsia="Arial" w:hAnsi="Arial"/>
          <w:sz w:val="24"/>
          <w:szCs w:val="24"/>
        </w:rPr>
        <w:t xml:space="preserve">1) призывы голосовать за тех или иных кандидатов, списки кандидатов либо против них;</w:t>
      </w:r>
    </w:p>
    <w:p>
      <w:pPr>
        <w:spacing w:after="120"/>
        <w:jc w:val="both"/>
      </w:pPr>
      <w:r>
        <w:rPr>
          <w:rFonts w:ascii="Arial" w:cs="Arial" w:eastAsia="Arial" w:hAnsi="Arial"/>
          <w:sz w:val="24"/>
          <w:szCs w:val="24"/>
        </w:rPr>
        <w:t xml:space="preserve">2) выражение предпочтения в отношении отдельных кандидатов, политических партий, групп избирателей;</w:t>
      </w:r>
    </w:p>
    <w:p>
      <w:pPr>
        <w:spacing w:after="120"/>
        <w:jc w:val="both"/>
      </w:pPr>
      <w:r>
        <w:rPr>
          <w:rFonts w:ascii="Arial" w:cs="Arial" w:eastAsia="Arial" w:hAnsi="Arial"/>
          <w:sz w:val="24"/>
          <w:szCs w:val="24"/>
        </w:rPr>
        <w:t xml:space="preserve">3) описание возможных последствий избрания или неизбрания кандидатов, списка кандидатов;</w:t>
      </w:r>
    </w:p>
    <w:p>
      <w:pPr>
        <w:spacing w:after="120"/>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120"/>
        <w:jc w:val="both"/>
      </w:pPr>
      <w:r>
        <w:rPr>
          <w:rFonts w:ascii="Arial" w:cs="Arial" w:eastAsia="Arial" w:hAnsi="Arial"/>
          <w:sz w:val="24"/>
          <w:szCs w:val="24"/>
        </w:rPr>
        <w:t xml:space="preserve">13. В период избирательной кампании граждане Кыргызской Республики, политические партии, не участвующие в выборах, вправе вести предвыборную агитацию, требующую финансирования, только по согласованию с кандидатами, политическими партиями, группами избирателей и через их избирательные фонды.</w:t>
      </w:r>
    </w:p>
    <w:p>
      <w:pPr>
        <w:spacing w:after="120"/>
        <w:jc w:val="both"/>
      </w:pPr>
      <w:r>
        <w:rPr>
          <w:rFonts w:ascii="Arial" w:cs="Arial" w:eastAsia="Arial" w:hAnsi="Arial"/>
          <w:sz w:val="24"/>
          <w:szCs w:val="24"/>
        </w:rPr>
        <w:t xml:space="preserve">14. Кандидатам, политическим партиям, группам избирателей гарантируются равные условия доступа к средствам массовой информации.</w:t>
      </w:r>
    </w:p>
    <w:p>
      <w:pPr>
        <w:spacing w:after="120"/>
        <w:jc w:val="both"/>
      </w:pPr>
      <w:r>
        <w:rPr>
          <w:rFonts w:ascii="Arial" w:cs="Arial" w:eastAsia="Arial" w:hAnsi="Arial"/>
          <w:sz w:val="24"/>
          <w:szCs w:val="24"/>
        </w:rPr>
        <w:t xml:space="preserve">15. Агитация при проведении выборов может осуществляться:</w:t>
      </w:r>
    </w:p>
    <w:p>
      <w:pPr>
        <w:spacing w:after="120"/>
        <w:jc w:val="both"/>
      </w:pPr>
      <w:r>
        <w:rPr>
          <w:rFonts w:ascii="Arial" w:cs="Arial" w:eastAsia="Arial" w:hAnsi="Arial"/>
          <w:sz w:val="24"/>
          <w:szCs w:val="24"/>
        </w:rPr>
        <w:t xml:space="preserve">1) через средства массовой информации;</w:t>
      </w:r>
    </w:p>
    <w:p>
      <w:pPr>
        <w:spacing w:after="120"/>
        <w:jc w:val="both"/>
      </w:pPr>
      <w:r>
        <w:rPr>
          <w:rFonts w:ascii="Arial" w:cs="Arial" w:eastAsia="Arial" w:hAnsi="Arial"/>
          <w:sz w:val="24"/>
          <w:szCs w:val="24"/>
        </w:rPr>
        <w:t xml:space="preserve">2) путем проведения массовых мероприятий (собраний и встреч с гражданами, публичных дебатов и дискуссий, митингов, демонстраций, шествий);</w:t>
      </w:r>
    </w:p>
    <w:p>
      <w:pPr>
        <w:spacing w:after="120"/>
        <w:jc w:val="both"/>
      </w:pPr>
      <w:r>
        <w:rPr>
          <w:rFonts w:ascii="Arial" w:cs="Arial" w:eastAsia="Arial" w:hAnsi="Arial"/>
          <w:sz w:val="24"/>
          <w:szCs w:val="24"/>
        </w:rPr>
        <w:t xml:space="preserve">3) путем выпуска и распространения печатных, аудиовизуальных и других агитационных материалов;</w:t>
      </w:r>
    </w:p>
    <w:p>
      <w:pPr>
        <w:spacing w:after="120"/>
        <w:jc w:val="both"/>
      </w:pPr>
      <w:r>
        <w:rPr>
          <w:rFonts w:ascii="Arial" w:cs="Arial" w:eastAsia="Arial" w:hAnsi="Arial"/>
          <w:sz w:val="24"/>
          <w:szCs w:val="24"/>
        </w:rPr>
        <w:t xml:space="preserve">4) в иных не запрещенных законом формах.</w:t>
      </w:r>
    </w:p>
    <w:p>
      <w:pPr>
        <w:spacing w:after="120"/>
        <w:jc w:val="both"/>
      </w:pPr>
      <w:r>
        <w:rPr>
          <w:rFonts w:ascii="Arial" w:cs="Arial" w:eastAsia="Arial" w:hAnsi="Arial"/>
          <w:sz w:val="24"/>
          <w:szCs w:val="24"/>
        </w:rPr>
        <w:t xml:space="preserve">16. Кандидат, политические партии, группы избирателей вправе самостоятельно определять форму и характер своей агитации через средства массовой информации.</w:t>
      </w:r>
    </w:p>
    <w:p>
      <w:pPr>
        <w:spacing w:after="120"/>
        <w:jc w:val="both"/>
      </w:pPr>
      <w:r>
        <w:rPr>
          <w:rFonts w:ascii="Arial" w:cs="Arial" w:eastAsia="Arial" w:hAnsi="Arial"/>
          <w:sz w:val="24"/>
          <w:szCs w:val="24"/>
        </w:rPr>
        <w:t xml:space="preserve">17. Работники государственных органов и органов местного самоуправления, члены избирательных комиссий, наблюдатели, международные наблюдатели, судьи, члены и представители религиозных, благотворительных организаций, лица, не достигшие 18 лет, иностранные граждане и организации, лица без гражданства не имеют права проводить агитацию, выпускать и распространять любые агитационные материалы.</w:t>
      </w:r>
    </w:p>
    <w:p>
      <w:pPr>
        <w:spacing w:after="120"/>
        <w:jc w:val="both"/>
      </w:pPr>
      <w:r>
        <w:rPr>
          <w:rFonts w:ascii="Arial" w:cs="Arial" w:eastAsia="Arial" w:hAnsi="Arial"/>
          <w:sz w:val="24"/>
          <w:szCs w:val="24"/>
        </w:rPr>
        <w:t xml:space="preserve">18.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В таких случаях ответственность за распространение подобных сведений несут ретранслирующие средства массовой информации.</w:t>
      </w:r>
    </w:p>
    <w:p>
      <w:pPr>
        <w:spacing w:after="120"/>
        <w:jc w:val="both"/>
      </w:pPr>
      <w:r>
        <w:rPr>
          <w:rFonts w:ascii="Arial" w:cs="Arial" w:eastAsia="Arial" w:hAnsi="Arial"/>
          <w:sz w:val="24"/>
          <w:szCs w:val="24"/>
        </w:rPr>
        <w:t xml:space="preserve">19. Журналистам, другим творческим работникам, а также должностным лицам редакций средств массовой информации запрещается вести информационные теле-, радиопрограммы, участвовать в освещении выборов через данные средства массовой информации, если указанные лица являются учредителями данных средств массовой информации, кандидатами либо их представителями, в соответствии с Законом о выборах депутатов местных кенешей.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предусмотренном статьей 24 Закона о выборах депутатов местных кенешей.</w:t>
      </w:r>
    </w:p>
    <w:p>
      <w:pPr>
        <w:spacing w:after="120"/>
        <w:jc w:val="both"/>
      </w:pPr>
      <w:r>
        <w:rPr>
          <w:rFonts w:ascii="Arial" w:cs="Arial" w:eastAsia="Arial" w:hAnsi="Arial"/>
          <w:sz w:val="24"/>
          <w:szCs w:val="24"/>
        </w:rPr>
        <w:t xml:space="preserve">20. Средства массовой информации, учредителями (соучредителями) которых являются органы государственной власти и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группам избирателей равные возможности проведения предвыборной агитации.</w:t>
      </w:r>
    </w:p>
    <w:p>
      <w:pPr>
        <w:spacing w:after="120"/>
        <w:jc w:val="both"/>
      </w:pPr>
      <w:r>
        <w:rPr>
          <w:rFonts w:ascii="Arial" w:cs="Arial" w:eastAsia="Arial" w:hAnsi="Arial"/>
          <w:sz w:val="24"/>
          <w:szCs w:val="24"/>
        </w:rPr>
        <w:t xml:space="preserve">21. Средства массовой информации, не подпадающие под действие пункта 20 главы 2 настоящей Инструкции,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120"/>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должен быть единым для всех кандидатов, политических партий и групп избирателей.</w:t>
      </w:r>
    </w:p>
    <w:p>
      <w:pPr>
        <w:spacing w:after="120"/>
        <w:jc w:val="both"/>
      </w:pPr>
      <w:r>
        <w:rPr>
          <w:rFonts w:ascii="Arial" w:cs="Arial" w:eastAsia="Arial" w:hAnsi="Arial"/>
          <w:sz w:val="24"/>
          <w:szCs w:val="24"/>
        </w:rPr>
        <w:t xml:space="preserve">22. При проведении выборов сведения о размере и других условиях оплаты за предоставление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10 календарных дней после официального опубликования решения о назначении выборов и представлены в Центральную избирательную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Организация работы предвыборного штаба кандидата, политической партии или группы избирателей</w:t>
      </w:r>
    </w:p>
    <w:p>
      <w:pPr>
        <w:spacing w:after="120"/>
        <w:jc w:val="both"/>
      </w:pPr>
      <w:r>
        <w:rPr>
          <w:rFonts w:ascii="Arial" w:cs="Arial" w:eastAsia="Arial" w:hAnsi="Arial"/>
          <w:sz w:val="24"/>
          <w:szCs w:val="24"/>
        </w:rPr>
        <w:t xml:space="preserve">1. Период деятельности предвыборного штаба начинается с начала избирательной кампании и до завершения процесса подсчета голосов и определения результатов выборов.</w:t>
      </w:r>
    </w:p>
    <w:p>
      <w:pPr>
        <w:spacing w:after="120"/>
        <w:jc w:val="both"/>
      </w:pPr>
      <w:r>
        <w:rPr>
          <w:rFonts w:ascii="Arial" w:cs="Arial" w:eastAsia="Arial" w:hAnsi="Arial"/>
          <w:sz w:val="24"/>
          <w:szCs w:val="24"/>
        </w:rPr>
        <w:t xml:space="preserve">2. Предвыборный штаб:</w:t>
      </w:r>
    </w:p>
    <w:p>
      <w:pPr>
        <w:spacing w:after="120"/>
        <w:jc w:val="both"/>
      </w:pPr>
      <w:r>
        <w:rPr>
          <w:rFonts w:ascii="Arial" w:cs="Arial" w:eastAsia="Arial" w:hAnsi="Arial"/>
          <w:sz w:val="24"/>
          <w:szCs w:val="24"/>
        </w:rPr>
        <w:t xml:space="preserve">- осуществляет общее руководство избирательной кампанией;</w:t>
      </w:r>
    </w:p>
    <w:p>
      <w:pPr>
        <w:spacing w:after="120"/>
        <w:jc w:val="both"/>
      </w:pPr>
      <w:r>
        <w:rPr>
          <w:rFonts w:ascii="Arial" w:cs="Arial" w:eastAsia="Arial" w:hAnsi="Arial"/>
          <w:sz w:val="24"/>
          <w:szCs w:val="24"/>
        </w:rPr>
        <w:t xml:space="preserve">- организует подготовку и утверждает текущие планы работы;</w:t>
      </w:r>
    </w:p>
    <w:p>
      <w:pPr>
        <w:spacing w:after="120"/>
        <w:jc w:val="both"/>
      </w:pPr>
      <w:r>
        <w:rPr>
          <w:rFonts w:ascii="Arial" w:cs="Arial" w:eastAsia="Arial" w:hAnsi="Arial"/>
          <w:sz w:val="24"/>
          <w:szCs w:val="24"/>
        </w:rPr>
        <w:t xml:space="preserve">- обеспечивает и контролирует выполнение графика мероприятий избирательной кампании;</w:t>
      </w:r>
    </w:p>
    <w:p>
      <w:pPr>
        <w:spacing w:after="120"/>
        <w:jc w:val="both"/>
      </w:pPr>
      <w:r>
        <w:rPr>
          <w:rFonts w:ascii="Arial" w:cs="Arial" w:eastAsia="Arial" w:hAnsi="Arial"/>
          <w:sz w:val="24"/>
          <w:szCs w:val="24"/>
        </w:rPr>
        <w:t xml:space="preserve">- осуществляет взаимодействие со средствами массовой информации, планирование и организацию встреч, организацию агитационной сети и подготовку агитационных материалов;</w:t>
      </w:r>
    </w:p>
    <w:p>
      <w:pPr>
        <w:spacing w:after="120"/>
        <w:jc w:val="both"/>
      </w:pPr>
      <w:r>
        <w:rPr>
          <w:rFonts w:ascii="Arial" w:cs="Arial" w:eastAsia="Arial" w:hAnsi="Arial"/>
          <w:sz w:val="24"/>
          <w:szCs w:val="24"/>
        </w:rPr>
        <w:t xml:space="preserve">- организует своевременную, профильную и качественную подготовку предвыборных штабов;</w:t>
      </w:r>
    </w:p>
    <w:p>
      <w:pPr>
        <w:spacing w:after="120"/>
        <w:jc w:val="both"/>
      </w:pPr>
      <w:r>
        <w:rPr>
          <w:rFonts w:ascii="Arial" w:cs="Arial" w:eastAsia="Arial" w:hAnsi="Arial"/>
          <w:sz w:val="24"/>
          <w:szCs w:val="24"/>
        </w:rPr>
        <w:t xml:space="preserve">- поддерживает связь с органами государственной власти, развивает контакты с территориальными структурами команды.</w:t>
      </w:r>
    </w:p>
    <w:p>
      <w:pPr>
        <w:spacing w:after="120"/>
        <w:jc w:val="both"/>
      </w:pPr>
      <w:r>
        <w:rPr>
          <w:rFonts w:ascii="Arial" w:cs="Arial" w:eastAsia="Arial" w:hAnsi="Arial"/>
          <w:sz w:val="24"/>
          <w:szCs w:val="24"/>
        </w:rPr>
        <w:t xml:space="preserve">25. Затраты, связанные с обеспечением жизнедеятельности предвыборных штабов - помещение, мебель, оргтехника, связь, транспорт, канцелярия, секретариат, штатные работники и т.д. осуществляются из средств избирательного фонда кандидата, политической партии или группы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Информирование избирателей и проведение предвыборной агитации</w:t>
      </w:r>
    </w:p>
    <w:p>
      <w:pPr>
        <w:spacing w:after="120"/>
        <w:jc w:val="both"/>
      </w:pPr>
      <w:r>
        <w:rPr>
          <w:rFonts w:ascii="Arial" w:cs="Arial" w:eastAsia="Arial" w:hAnsi="Arial"/>
          <w:sz w:val="24"/>
          <w:szCs w:val="24"/>
        </w:rPr>
        <w:t xml:space="preserve">26. Информационное обеспечение выборов включает в себя информирование избирателей, предвыборную агитацию и способствует осознанному волеизъявлению граждан и гласности выборов. Информирование избирателей осуществляют органы государственной власти, органы местного самоуправления, избирательные комиссии, средства массовой информации, юридические и физические лица в соответствии с с Законом о выборах депутатов местных кенешей и действующим законодательством. Органы государственной власти, местного самоуправления, избирательные комиссии несут ответственность за своевременность и достоверность информирования граждан.</w:t>
      </w:r>
    </w:p>
    <w:p>
      <w:pPr>
        <w:spacing w:after="120"/>
        <w:jc w:val="both"/>
      </w:pPr>
      <w:r>
        <w:rPr>
          <w:rFonts w:ascii="Arial" w:cs="Arial" w:eastAsia="Arial" w:hAnsi="Arial"/>
          <w:sz w:val="24"/>
          <w:szCs w:val="24"/>
        </w:rPr>
        <w:t xml:space="preserve">27.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политических партий, групп избирателей, в них не должно отдаваться предпочтение какому бы то ни было кандидату, политической партии, группе избирателей.</w:t>
      </w:r>
    </w:p>
    <w:p>
      <w:pPr>
        <w:spacing w:after="120"/>
        <w:jc w:val="both"/>
      </w:pPr>
      <w:r>
        <w:rPr>
          <w:rFonts w:ascii="Arial" w:cs="Arial" w:eastAsia="Arial" w:hAnsi="Arial"/>
          <w:sz w:val="24"/>
          <w:szCs w:val="24"/>
        </w:rPr>
        <w:t xml:space="preserve">28. Опубликование (освещение) результатов опросов общественного мнения, связанных с выборами, является разновидностью информирования избирателей.</w:t>
      </w:r>
    </w:p>
    <w:p>
      <w:pPr>
        <w:spacing w:after="120"/>
        <w:jc w:val="both"/>
      </w:pPr>
      <w:r>
        <w:rPr>
          <w:rFonts w:ascii="Arial" w:cs="Arial" w:eastAsia="Arial" w:hAnsi="Arial"/>
          <w:sz w:val="24"/>
          <w:szCs w:val="24"/>
        </w:rPr>
        <w:t xml:space="preserve">29. При опубликовании (освещении) результатов опросов общественного мнения, связанных с выборами, средства массовой информации, граждане и организации, осуществляющие указанное опубликование (освещение), обязаны указывать организацию или физическое лицо, проводившие опрос, время его проведения, число опрошенных (выборку), метод сбора информации, регион проведения опроса, точную формулировку вопроса, статистическую оценку возможной погрешности, лицо (лиц), заказавшее (заказавших) проведение опроса и оплатившее (оплативших) его опубликование.</w:t>
      </w:r>
    </w:p>
    <w:p>
      <w:pPr>
        <w:spacing w:after="120"/>
        <w:jc w:val="both"/>
      </w:pPr>
      <w:r>
        <w:rPr>
          <w:rFonts w:ascii="Arial" w:cs="Arial" w:eastAsia="Arial" w:hAnsi="Arial"/>
          <w:sz w:val="24"/>
          <w:szCs w:val="24"/>
        </w:rPr>
        <w:t xml:space="preserve">30. В последние 5 календарных дней до дня голосования, а также в день голосования опубликование (освещение) в средствах массовой информации результатов опросов общественного мнения, прогнозов результатов выборов, иных исследований, связанных с выборами, не допускается.</w:t>
      </w:r>
    </w:p>
    <w:p>
      <w:pPr>
        <w:spacing w:after="120"/>
        <w:jc w:val="both"/>
      </w:pPr>
      <w:r>
        <w:rPr>
          <w:rFonts w:ascii="Arial" w:cs="Arial" w:eastAsia="Arial" w:hAnsi="Arial"/>
          <w:sz w:val="24"/>
          <w:szCs w:val="24"/>
        </w:rPr>
        <w:t xml:space="preserve">31. Несоблюдение требований пунктов 29, 30 главы 4 настоящей Инструкции при опубликовании (освещении) результатов опросов общественного мнения влечет за собой признание материалов, содержащих такие сведения, агитационными и ответственность, предусмотренную действующим законодательством.</w:t>
      </w:r>
    </w:p>
    <w:p>
      <w:pPr>
        <w:spacing w:after="120"/>
        <w:jc w:val="both"/>
      </w:pPr>
      <w:r>
        <w:rPr>
          <w:rFonts w:ascii="Arial" w:cs="Arial" w:eastAsia="Arial" w:hAnsi="Arial"/>
          <w:sz w:val="24"/>
          <w:szCs w:val="24"/>
        </w:rPr>
        <w:t xml:space="preserve">32. Члены избирательных комиссий вправе присутствовать на предвыборных агитационных мероприятиях кандидата.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предоставления эфирного времени на каналах государственных телерадиокомпаний</w:t>
      </w:r>
    </w:p>
    <w:p>
      <w:pPr>
        <w:spacing w:after="120"/>
        <w:jc w:val="both"/>
      </w:pPr>
      <w:r>
        <w:rPr>
          <w:rFonts w:ascii="Arial" w:cs="Arial" w:eastAsia="Arial" w:hAnsi="Arial"/>
          <w:sz w:val="24"/>
          <w:szCs w:val="24"/>
        </w:rPr>
        <w:t xml:space="preserve">33. Кандидаты, политические партии, группы избирателей имеют право на предоставление им бесплатного эфирного времени на каналах телерадиоорганизаций, подпадающих под действие пункта 20 главы 2 настоящей Инструкции и осуществляющих телерадиовещание на территории, на которой проводятся выборы. Указанное эфирное время должно приходиться на период, когда теле- и радиопрограммы собирают наибольшую аудиторию - с 20 до 24 часов.</w:t>
      </w:r>
    </w:p>
    <w:p>
      <w:pPr>
        <w:spacing w:after="120"/>
        <w:jc w:val="both"/>
      </w:pPr>
      <w:r>
        <w:rPr>
          <w:rFonts w:ascii="Arial" w:cs="Arial" w:eastAsia="Arial" w:hAnsi="Arial"/>
          <w:sz w:val="24"/>
          <w:szCs w:val="24"/>
        </w:rPr>
        <w:t xml:space="preserve">34. Общий объем бесплатного эфирного времени, выделяемого государственной телерадиоорганизацией для проведения агитации на выборах депутатов местных кенешей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политическими партиями, группами избирателей, выдвинувшими списки кандидатов на равных основаниях.</w:t>
      </w:r>
    </w:p>
    <w:p>
      <w:pPr>
        <w:spacing w:after="120"/>
        <w:jc w:val="both"/>
      </w:pPr>
      <w:r>
        <w:rPr>
          <w:rFonts w:ascii="Arial" w:cs="Arial" w:eastAsia="Arial" w:hAnsi="Arial"/>
          <w:sz w:val="24"/>
          <w:szCs w:val="24"/>
        </w:rPr>
        <w:t xml:space="preserve">35. Не менее одной трети от общего объема выделяемого бесплатного эфирного времени отводится кандидатам, политическим партиям, группам избирателей, выдвинувшим списки кандидатов, исключительно для совместного проведения дискуссий "круглых столов" и иных аналогичных агитационных мероприятий. К использованию этой доли бесплатного эфирного времени все кандидаты, политические партии, группы избирателей должны быть допущены на равных основаниях.</w:t>
      </w:r>
    </w:p>
    <w:p>
      <w:pPr>
        <w:spacing w:after="120"/>
        <w:jc w:val="both"/>
      </w:pPr>
      <w:r>
        <w:rPr>
          <w:rFonts w:ascii="Arial" w:cs="Arial" w:eastAsia="Arial" w:hAnsi="Arial"/>
          <w:sz w:val="24"/>
          <w:szCs w:val="24"/>
        </w:rPr>
        <w:t xml:space="preserve">В совместных агитационных мероприятиях на каналах организаций телерадиовещания зарегистрированные кандидаты могут участвовать только лично, политические партии и группы избирателей - через уполномоченных представителей, доверенных лиц. Отказ от участия в совместном агитационном мероприятии не влечет увеличения объема бесплатного эфирного времени, предоставляемого отказавшимся от участия в совместном агитационном мероприятии зарегистрированному кандидату, политической партии или группе избирателей.</w:t>
      </w:r>
    </w:p>
    <w:p>
      <w:pPr>
        <w:spacing w:after="120"/>
        <w:jc w:val="both"/>
      </w:pPr>
      <w:r>
        <w:rPr>
          <w:rFonts w:ascii="Arial" w:cs="Arial" w:eastAsia="Arial" w:hAnsi="Arial"/>
          <w:sz w:val="24"/>
          <w:szCs w:val="24"/>
        </w:rPr>
        <w:t xml:space="preserve">Если кандидат, представитель политической партии, представитель группы избирателей не смогли принять участие в совместном агитационном мероприятии по объективным причинам, то они наряду с другими кандидатами, политическими партиями, группами избирателей, не принявшими участие в совместном агитационном мероприятии, вправе попросить использовать свое эфирное время.</w:t>
      </w:r>
    </w:p>
    <w:p>
      <w:pPr>
        <w:spacing w:after="120"/>
        <w:jc w:val="both"/>
      </w:pPr>
      <w:r>
        <w:rPr>
          <w:rFonts w:ascii="Arial" w:cs="Arial" w:eastAsia="Arial" w:hAnsi="Arial"/>
          <w:sz w:val="24"/>
          <w:szCs w:val="24"/>
        </w:rPr>
        <w:t xml:space="preserve">36. Телерадиоорганизации, подпадающие под действие пункта 20 главы 2 настоящей Инструкции, применительно к уровню выборов обязаны резервировать платное эфирное время для проведения агитации кандидатами, политическими партиями и группами избирателей. Указанное эфирное время должно предоставляться на условиях договора соответствующему кандидату, политической партии, группе избирателей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групп избирателей. При этом каждые кандидат, политическая партия, группа избирателей вправе получить из общего объема зарезервированного эфирного времени время в пределах доли, полученной делением этого объема на общее число кандидатов, политических партий, групп избирателей.</w:t>
      </w:r>
    </w:p>
    <w:p>
      <w:pPr>
        <w:spacing w:after="120"/>
        <w:jc w:val="both"/>
      </w:pPr>
      <w:r>
        <w:rPr>
          <w:rFonts w:ascii="Arial" w:cs="Arial" w:eastAsia="Arial" w:hAnsi="Arial"/>
          <w:sz w:val="24"/>
          <w:szCs w:val="24"/>
        </w:rPr>
        <w:t xml:space="preserve">Стоимость предоставляемого кандидатам, политическим партиям, группам избирателей платного эфирного времени не может превышать стоимости, которая взималась за 6 месяцев до дня назначения выборов.</w:t>
      </w:r>
    </w:p>
    <w:p>
      <w:pPr>
        <w:spacing w:after="120"/>
        <w:jc w:val="both"/>
      </w:pPr>
      <w:r>
        <w:rPr>
          <w:rFonts w:ascii="Arial" w:cs="Arial" w:eastAsia="Arial" w:hAnsi="Arial"/>
          <w:sz w:val="24"/>
          <w:szCs w:val="24"/>
        </w:rPr>
        <w:t xml:space="preserve">37. Запрещается прерывать выступления кандидатов, представителей политических партий, групп избирателей, а также сопровождать их какими-либо комментариями.</w:t>
      </w:r>
    </w:p>
    <w:p>
      <w:pPr>
        <w:spacing w:after="120"/>
        <w:jc w:val="both"/>
      </w:pPr>
      <w:r>
        <w:rPr>
          <w:rFonts w:ascii="Arial" w:cs="Arial" w:eastAsia="Arial" w:hAnsi="Arial"/>
          <w:sz w:val="24"/>
          <w:szCs w:val="24"/>
        </w:rPr>
        <w:t xml:space="preserve">38. Регулирование порядка предоставления эфирного времени кандидатам, политическим партиям, группам избирателей на каналах телерадиоорганизации, подпадающих под действие пункта 21 главы 2 настоящей Инструкции, устанавливается законодательством Кыргызской Республики.</w:t>
      </w:r>
    </w:p>
    <w:p>
      <w:pPr>
        <w:spacing w:after="120"/>
        <w:jc w:val="both"/>
      </w:pPr>
      <w:r>
        <w:rPr>
          <w:rFonts w:ascii="Arial" w:cs="Arial" w:eastAsia="Arial" w:hAnsi="Arial"/>
          <w:sz w:val="24"/>
          <w:szCs w:val="24"/>
        </w:rPr>
        <w:t xml:space="preserve">39. Телерадиоорганизации независимо от форм собственности, предоставившие кандидатам, политическим партиям, группам избирателей эфирное время, обязаны предоставить другим кандидатам эфирное время на тех же условиях (одинаковые расценка, время выхода в эфир, объем времени и другие условия).</w:t>
      </w:r>
    </w:p>
    <w:p>
      <w:pPr>
        <w:spacing w:after="120"/>
        <w:jc w:val="both"/>
      </w:pPr>
      <w:r>
        <w:rPr>
          <w:rFonts w:ascii="Arial" w:cs="Arial" w:eastAsia="Arial" w:hAnsi="Arial"/>
          <w:sz w:val="24"/>
          <w:szCs w:val="24"/>
        </w:rPr>
        <w:t xml:space="preserve">40.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телерадиоорганизации и распределяются с соблюдением принципа равенства между кандидатами, политическими партиями и группами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Проведение предвыборной агитации через печатные средства массовой информации</w:t>
      </w:r>
    </w:p>
    <w:p>
      <w:pPr>
        <w:spacing w:after="120"/>
        <w:jc w:val="both"/>
      </w:pPr>
      <w:r>
        <w:rPr>
          <w:rFonts w:ascii="Arial" w:cs="Arial" w:eastAsia="Arial" w:hAnsi="Arial"/>
          <w:sz w:val="24"/>
          <w:szCs w:val="24"/>
        </w:rPr>
        <w:t xml:space="preserve">41. Периодические печатные средства массовой информации, подпадающие под действие пункта 20 главы 2 настоящей Инструкции и распространяемые на территории, на которой проводятся выборы, за исключением изданий, учрежденных органами государственной власти и органами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политическими партиями, группами избирателей, выдвинувшими зарегистрированные списки кандидатов, в размере не менее одной страницы формата А4.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120"/>
        <w:jc w:val="both"/>
      </w:pPr>
      <w:r>
        <w:rPr>
          <w:rFonts w:ascii="Arial" w:cs="Arial" w:eastAsia="Arial" w:hAnsi="Arial"/>
          <w:sz w:val="24"/>
          <w:szCs w:val="24"/>
        </w:rPr>
        <w:t xml:space="preserve">42. Печатные издания, независимо от форм собственности, предоставившие кандидатам, политическим партиям, группам избирателей печатные площади, обязаны предоставить другим кандидатам, политическим партиям, группам избирателей печатные площади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Предвыборная агитация посредством проведения массовых мероприятий</w:t>
      </w:r>
    </w:p>
    <w:p>
      <w:pPr>
        <w:spacing w:after="120"/>
        <w:jc w:val="both"/>
      </w:pPr>
      <w:r>
        <w:rPr>
          <w:rFonts w:ascii="Arial" w:cs="Arial" w:eastAsia="Arial" w:hAnsi="Arial"/>
          <w:sz w:val="24"/>
          <w:szCs w:val="24"/>
        </w:rPr>
        <w:t xml:space="preserve">43. Органы государственной власти, органы местного самоуправления обязаны оказывать содействие кандидатам, политическим партиям, группам избирателей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jc w:val="both"/>
      </w:pPr>
      <w:r>
        <w:rPr>
          <w:rFonts w:ascii="Arial" w:cs="Arial" w:eastAsia="Arial" w:hAnsi="Arial"/>
          <w:sz w:val="24"/>
          <w:szCs w:val="24"/>
        </w:rPr>
        <w:t xml:space="preserve">44. Заявления от кандидатов, политических партий и групп избирателей о выделении помещений, находящихся в государственной или муниципальной собственности, для проведения встреч с избирателями рассматриваются органами государственной власти и органами местного самоуправления в день их подачи.</w:t>
      </w:r>
    </w:p>
    <w:p>
      <w:pPr>
        <w:spacing w:after="120"/>
        <w:jc w:val="both"/>
      </w:pPr>
      <w:r>
        <w:rPr>
          <w:rFonts w:ascii="Arial" w:cs="Arial" w:eastAsia="Arial" w:hAnsi="Arial"/>
          <w:sz w:val="24"/>
          <w:szCs w:val="24"/>
        </w:rPr>
        <w:t xml:space="preserve">В случае отказа кандидату, политической партии, группе избирателей в предоставлении помещения для встреч с избирателями органы государственной власти и местного самоуправления обязаны выдать письменное мотивированное решение об отказе.</w:t>
      </w:r>
    </w:p>
    <w:p>
      <w:pPr>
        <w:spacing w:after="120"/>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группе избирателей, отказ в предоставлении этого же помещения другим кандидату, политической партии, группе избирателей не допускается.</w:t>
      </w:r>
    </w:p>
    <w:p>
      <w:pPr>
        <w:spacing w:after="120"/>
        <w:jc w:val="both"/>
      </w:pPr>
      <w:r>
        <w:rPr>
          <w:rFonts w:ascii="Arial" w:cs="Arial" w:eastAsia="Arial" w:hAnsi="Arial"/>
          <w:sz w:val="24"/>
          <w:szCs w:val="24"/>
        </w:rPr>
        <w:t xml:space="preserve">45. По заявке избирательных комиссий помещения, пригодные для проведения массовых мероприятий и находящиеся в государственной или муниципальной собственности либо на балансе государственных предприятий, учреждений и организаций, безвозмездно предоставляются в пользование на установленное избирательной комиссией время для встреч кандидатов, представителей политических партий или групп избирателей, их доверенных лиц, уполномоченных представителей с избирателями. При этом избирательные комиссии обязаны обеспечить равные возможности для кандидатов, политических партий, групп избирателей при проведении массовых мероприятий.</w:t>
      </w:r>
    </w:p>
    <w:p>
      <w:pPr>
        <w:spacing w:after="120"/>
        <w:jc w:val="both"/>
      </w:pPr>
      <w:r>
        <w:rPr>
          <w:rFonts w:ascii="Arial" w:cs="Arial" w:eastAsia="Arial" w:hAnsi="Arial"/>
          <w:sz w:val="24"/>
          <w:szCs w:val="24"/>
        </w:rPr>
        <w:t xml:space="preserve">46. Кандидаты, политические партии, группы избирателей вправе организовать спортивные, культурно-развлекательные мероприятия во время предвыборной агитации при условии, что все затраты, связанные с проведением мероприятий должны осуществляться из средств избирательного фонда кандидата, политической партии, группы избирателей. Артисты, спортсмены, участвующие в этих мероприятиях должны быть гражданами Кыргызской Республики. Участие иностранных граждан и лиц без гражданства в предвыборной агитации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Выпуск и распространение печатных,аудиовизуальных и иных агитационных материалов</w:t>
      </w:r>
    </w:p>
    <w:p>
      <w:pPr>
        <w:spacing w:after="120"/>
        <w:jc w:val="both"/>
      </w:pPr>
      <w:r>
        <w:rPr>
          <w:rFonts w:ascii="Arial" w:cs="Arial" w:eastAsia="Arial" w:hAnsi="Arial"/>
          <w:sz w:val="24"/>
          <w:szCs w:val="24"/>
        </w:rPr>
        <w:t xml:space="preserve">47. Кандидаты, политические партии, группы избирателей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соответствующую избирательную комиссию, зарегистрировавшую кандидата, список кандидатов.</w:t>
      </w:r>
    </w:p>
    <w:p>
      <w:pPr>
        <w:spacing w:after="120"/>
        <w:jc w:val="both"/>
      </w:pPr>
      <w:r>
        <w:rPr>
          <w:rFonts w:ascii="Arial" w:cs="Arial" w:eastAsia="Arial" w:hAnsi="Arial"/>
          <w:sz w:val="24"/>
          <w:szCs w:val="24"/>
        </w:rPr>
        <w:t xml:space="preserve">48. Все печатные и иные агитационные материалы должны содержать наименования и адреса организаций (фамилия, имена, отчества и адреса мест жительства лиц), изготовивших агитационные материалы, фамилию, имя, отчество лица (наименование организации), заказавшего изготовление данных агитационных материалов, информацию о тираже и дате их выпуска, а также фамилию, имя, отчество кандидата, уполномоченного представителя политической партии, группы избирателей, оплативших заказ. Распространение агитационных материалов, не содержащих указанную информацию, запрещается.</w:t>
      </w:r>
    </w:p>
    <w:p>
      <w:pPr>
        <w:spacing w:after="120"/>
        <w:jc w:val="both"/>
      </w:pPr>
      <w:r>
        <w:rPr>
          <w:rFonts w:ascii="Arial" w:cs="Arial" w:eastAsia="Arial" w:hAnsi="Arial"/>
          <w:sz w:val="24"/>
          <w:szCs w:val="24"/>
        </w:rPr>
        <w:t xml:space="preserve">49. Органы местного самоуправления обязаны в течение 10 календарных дней со дня назначения выборов предоставить на территории каждого избирательного участка специальные места для вывешивания агитационных материалов. Кандидатам, политическим партиям, группам избирателей должны быть обеспечены равные условия для размещения таких материалов.</w:t>
      </w:r>
    </w:p>
    <w:p>
      <w:pPr>
        <w:spacing w:after="120"/>
        <w:jc w:val="both"/>
      </w:pPr>
      <w:r>
        <w:rPr>
          <w:rFonts w:ascii="Arial" w:cs="Arial" w:eastAsia="Arial" w:hAnsi="Arial"/>
          <w:sz w:val="24"/>
          <w:szCs w:val="24"/>
        </w:rPr>
        <w:t xml:space="preserve">50. Запрещается размещение указанных материалов на памятниках, обелисках и зданиях, имеющих историческую, культурную или архитектурную ценность, а также в помещениях избирательных комиссий, у входа в них и в помещениях для голосования.</w:t>
      </w:r>
    </w:p>
    <w:p>
      <w:pPr>
        <w:spacing w:after="120"/>
        <w:jc w:val="both"/>
      </w:pPr>
      <w:r>
        <w:rPr>
          <w:rFonts w:ascii="Arial" w:cs="Arial" w:eastAsia="Arial" w:hAnsi="Arial"/>
          <w:sz w:val="24"/>
          <w:szCs w:val="24"/>
        </w:rPr>
        <w:t xml:space="preserve">Использование зеленых насаждений, деревьев в целях размещения агитационных материалов не допускается.</w:t>
      </w:r>
    </w:p>
    <w:p>
      <w:pPr>
        <w:spacing w:after="120"/>
        <w:jc w:val="both"/>
      </w:pPr>
      <w:r>
        <w:rPr>
          <w:rFonts w:ascii="Arial" w:cs="Arial" w:eastAsia="Arial" w:hAnsi="Arial"/>
          <w:sz w:val="24"/>
          <w:szCs w:val="24"/>
        </w:rPr>
        <w:t xml:space="preserve">51. Органы местного самоуправления обязаны в течение 10 календарных дней после опубликования результатов выборов обеспечить уборку территории избирательного округа от агитационных материалов.</w:t>
      </w:r>
    </w:p>
    <w:p>
      <w:pPr>
        <w:spacing w:after="120"/>
        <w:jc w:val="both"/>
      </w:pPr>
      <w:r>
        <w:rPr>
          <w:rFonts w:ascii="Arial" w:cs="Arial" w:eastAsia="Arial" w:hAnsi="Arial"/>
          <w:sz w:val="24"/>
          <w:szCs w:val="24"/>
        </w:rPr>
        <w:t xml:space="preserve">52.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пункте 44 главы 8 настоящей Инструкции,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об изъятии незаконных агитационных материалов.</w:t>
      </w:r>
    </w:p>
    <w:p>
      <w:pPr>
        <w:spacing w:after="120"/>
        <w:jc w:val="both"/>
      </w:pPr>
      <w:r>
        <w:rPr>
          <w:rFonts w:ascii="Arial" w:cs="Arial" w:eastAsia="Arial" w:hAnsi="Arial"/>
          <w:sz w:val="24"/>
          <w:szCs w:val="24"/>
        </w:rPr>
        <w:t xml:space="preserve">53. Кандидаты, политические партии, группы избирателей вправе использовать печатные, аудиовизуальные и иные агитационные материалы, изготовленные до назначения выборов, в соответствии с требованиями главы 7 настоящей Инструкции в пределах суммы расходов кандидатов, политических партий, групп избирателей из избирательного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Недопустимость злоупотреблений правом на проведение предвыборной агитации</w:t>
      </w:r>
    </w:p>
    <w:p>
      <w:pPr>
        <w:spacing w:after="120"/>
        <w:jc w:val="both"/>
      </w:pPr>
      <w:r>
        <w:rPr>
          <w:rFonts w:ascii="Arial" w:cs="Arial" w:eastAsia="Arial" w:hAnsi="Arial"/>
          <w:sz w:val="24"/>
          <w:szCs w:val="24"/>
        </w:rPr>
        <w:t xml:space="preserve">54. Избирательные комиссии контролируют соблюдение установленного порядка проведения предвыборной агитации.</w:t>
      </w:r>
    </w:p>
    <w:p>
      <w:pPr>
        <w:spacing w:after="120"/>
        <w:jc w:val="both"/>
      </w:pPr>
      <w:r>
        <w:rPr>
          <w:rFonts w:ascii="Arial" w:cs="Arial" w:eastAsia="Arial" w:hAnsi="Arial"/>
          <w:sz w:val="24"/>
          <w:szCs w:val="24"/>
        </w:rPr>
        <w:t xml:space="preserve">55. При проведении предвыборной агитации не допускаются злоупотребления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призывающая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использование фото- и видеоматериалов с использованием изображения государственных и политических деятелей других государств и иные формы злоупотребления свободой средств массовой информации, запрещенные законами Кыргызской Республики.</w:t>
      </w:r>
    </w:p>
    <w:p>
      <w:pPr>
        <w:spacing w:after="120"/>
        <w:jc w:val="both"/>
      </w:pPr>
      <w:r>
        <w:rPr>
          <w:rFonts w:ascii="Arial" w:cs="Arial" w:eastAsia="Arial" w:hAnsi="Arial"/>
          <w:sz w:val="24"/>
          <w:szCs w:val="24"/>
        </w:rPr>
        <w:t xml:space="preserve">56.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группы избирателей, изображение кандидата; предоставлять услуги безвозмездно или на льготных условиях.</w:t>
      </w:r>
    </w:p>
    <w:p>
      <w:pPr>
        <w:spacing w:after="120"/>
        <w:jc w:val="both"/>
      </w:pPr>
      <w:r>
        <w:rPr>
          <w:rFonts w:ascii="Arial" w:cs="Arial" w:eastAsia="Arial" w:hAnsi="Arial"/>
          <w:sz w:val="24"/>
          <w:szCs w:val="24"/>
        </w:rPr>
        <w:t xml:space="preserve">Подкупом не считается оплата выполненной работы в рамках трудовых отношений, оформленных в письменном виде между кандидатом, политической партией, группой избирателей и исполнителем, из средств избирательного фонда кандидата, политической партии, группы избирателей.</w:t>
      </w:r>
    </w:p>
    <w:p>
      <w:pPr>
        <w:spacing w:after="120"/>
        <w:jc w:val="both"/>
      </w:pPr>
      <w:r>
        <w:rPr>
          <w:rFonts w:ascii="Arial" w:cs="Arial" w:eastAsia="Arial" w:hAnsi="Arial"/>
          <w:sz w:val="24"/>
          <w:szCs w:val="24"/>
        </w:rPr>
        <w:t xml:space="preserve">57. Кандидаты, супруг (-а) кандидата, близкие родственники кандидатов, представители кандидатов и политических партий, представители групп избирателей с момента назначения выборов и до опубликования результатов выборов не вправе заниматься благотворительной деятельностью, в том числе и за пределами избирательного округа, в котором выдвинут кандидат.</w:t>
      </w:r>
    </w:p>
    <w:p>
      <w:pPr>
        <w:spacing w:after="120"/>
        <w:jc w:val="both"/>
      </w:pPr>
      <w:r>
        <w:rPr>
          <w:rFonts w:ascii="Arial" w:cs="Arial" w:eastAsia="Arial" w:hAnsi="Arial"/>
          <w:sz w:val="24"/>
          <w:szCs w:val="24"/>
        </w:rPr>
        <w:t xml:space="preserve">58. Кандидаты, их представители, представители политических партий и групп избирателей, средства массовой информации, другие лица, участвуя в предвыборных кампаниях, не вправе допускать публикации, основанные на заведомо ложных сведениях, порочащих честь, достоинство и деловую репутацию других кандидатов, политических партий и групп избирателей. Средства массовой информации, допустившие такие публикации, по требованию кандидата, политической партии, группы избирателей обязаны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в специальной рубрике либо на той же полосе и тем же шрифтом, что и информация, на которую дается ответ, в периодических изданиях - в следующем выпуске, на выступления по телевидению или радио - в следующем выпуске со дня поступления опровержения или разъяснения.</w:t>
      </w:r>
    </w:p>
    <w:p>
      <w:pPr>
        <w:spacing w:after="120"/>
        <w:jc w:val="both"/>
      </w:pPr>
      <w:r>
        <w:rPr>
          <w:rFonts w:ascii="Arial" w:cs="Arial" w:eastAsia="Arial" w:hAnsi="Arial"/>
          <w:sz w:val="24"/>
          <w:szCs w:val="24"/>
        </w:rPr>
        <w:t xml:space="preserve">59. Непредоставление кандидату, политической партии или группе избирателей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в которых была опубликована информация, порочащая честь, достоинство и деловую репутацию кандидата, политической партии, группы избирателей, может явиться основанием для судебной ответственности данных средств массовой информации.</w:t>
      </w:r>
    </w:p>
    <w:p>
      <w:pPr>
        <w:spacing w:after="120"/>
        <w:jc w:val="both"/>
      </w:pPr>
      <w:r>
        <w:rPr>
          <w:rFonts w:ascii="Arial" w:cs="Arial" w:eastAsia="Arial" w:hAnsi="Arial"/>
          <w:sz w:val="24"/>
          <w:szCs w:val="24"/>
        </w:rPr>
        <w:t xml:space="preserve">60. В случае нарушения кандидатом, политической партией, группой избирателей, а также их представителями, средствами массовой информации пунктов 55, 56 и 58 главы 9 настоящей Инструкции, избирательные комиссии, избиратели, кандидат, политическая партия, группа избирателей, а также их представители, средства массовой информации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Законом о выборах депутатов местных кенешей и действующим законодательством.</w:t>
      </w:r>
    </w:p>
    <w:p>
      <w:pPr>
        <w:spacing w:after="120"/>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120"/>
        <w:jc w:val="both"/>
      </w:pPr>
      <w:r>
        <w:rPr>
          <w:rFonts w:ascii="Arial" w:cs="Arial" w:eastAsia="Arial" w:hAnsi="Arial"/>
          <w:sz w:val="24"/>
          <w:szCs w:val="24"/>
        </w:rPr>
        <w:t xml:space="preserve">61. Правоохранительные органы должны оказывать содействие избирательным комиссиям по предотвращению изготовления подложных и незаконных предвыборных печатных, аудиовизуальных и иных агитационных материалов и их изъятию, а также по установлению изготовителей указанных материалов и источника их оплаты.</w:t>
      </w:r>
    </w:p>
    <w:p>
      <w:pPr>
        <w:spacing w:after="120"/>
        <w:jc w:val="both"/>
      </w:pPr>
      <w:r>
        <w:rPr>
          <w:rFonts w:ascii="Arial" w:cs="Arial" w:eastAsia="Arial" w:hAnsi="Arial"/>
          <w:sz w:val="24"/>
          <w:szCs w:val="24"/>
        </w:rPr>
        <w:t xml:space="preserve">62. В случае нарушения кандидатом, политической партией, группой избирателей требований, установленных настоящей Инструкцией, соответствующая избирательная комиссия вправе сделать письменное предупреждение кандидату, политической партии или группе избирателей о нарушениях. В случае неоднократного нарушения кандидатом, политической партией, группой избирателей вышеуказанных требований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Организация контроля за соблюдением правил проведения предвыборной агитации</w:t>
      </w:r>
    </w:p>
    <w:p>
      <w:pPr>
        <w:spacing w:after="120"/>
        <w:jc w:val="both"/>
      </w:pPr>
      <w:r>
        <w:rPr>
          <w:rFonts w:ascii="Arial" w:cs="Arial" w:eastAsia="Arial" w:hAnsi="Arial"/>
          <w:sz w:val="24"/>
          <w:szCs w:val="24"/>
        </w:rPr>
        <w:t xml:space="preserve">63. Контроль за соблюдением кандидатами, политическими партиями, группами избирателей, редакциями средств массовой информации и их сотрудниками правил, указанных в настоящей Инструкции осуществляется Центральной избирательной комиссией Кыргызской Республики, территориальными и участковыми избирательными комиссиями.</w:t>
      </w:r>
    </w:p>
    <w:p>
      <w:pPr>
        <w:spacing w:after="120"/>
        <w:jc w:val="both"/>
      </w:pPr>
      <w:r>
        <w:rPr>
          <w:rFonts w:ascii="Arial" w:cs="Arial" w:eastAsia="Arial" w:hAnsi="Arial"/>
          <w:sz w:val="24"/>
          <w:szCs w:val="24"/>
        </w:rPr>
        <w:t xml:space="preserve">64. Редакция средства массовой информации ведет учет публикаций, выхода в эфир предвыборных агитационных материалов. В случае поступления запроса от избирательной комиссии редакция средства массовой информации обязана предоставить ей письменную информацию в трехдневный срок со дня запроса, а при необходимости и копии запрашиваемых материалов.</w:t>
      </w:r>
    </w:p>
    <w:p>
      <w:pPr>
        <w:spacing w:after="120"/>
        <w:jc w:val="both"/>
      </w:pPr>
      <w:r>
        <w:rPr>
          <w:rFonts w:ascii="Arial" w:cs="Arial" w:eastAsia="Arial" w:hAnsi="Arial"/>
          <w:sz w:val="24"/>
          <w:szCs w:val="24"/>
        </w:rPr>
        <w:t xml:space="preserve">65. Споры, связанные с публикациями, передачами в средствах массовой информации,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0hgfrkl7nmh1b1axhsh">
      <w:r>
        <w:rPr>
          <w:rFonts w:ascii="Arial" w:cs="Arial" w:eastAsia="Arial" w:hAnsi="Arial"/>
          <w:color w:val="132D3F"/>
          <w:sz w:val="16"/>
          <w:szCs w:val="16"/>
          <w:u w:val="single"/>
        </w:rPr>
        <w:t xml:space="preserve">dalil.kg/document/402909</w:t>
      </w:r>
    </w:hyperlink>
  </w:p>
  <w:p>
    <w:pPr>
      <w:spacing w:after="0" w:before="40"/>
      <w:jc w:val="center"/>
    </w:pPr>
    <w:hyperlink w:history="1" r:id="rIdi-bob3jzgrbgxapwmqn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4xefika3xfacjo5ngjky" Type="http://schemas.openxmlformats.org/officeDocument/2006/relationships/hyperlink" Target="https://dalil.kg/document/12353" TargetMode="External"/><Relationship Id="rIdb1aseyyjo8f5tuhrxx5zb" Type="http://schemas.openxmlformats.org/officeDocument/2006/relationships/hyperlink" Target="https://dalil.kg/document/203103" TargetMode="External"/><Relationship Id="rIdfstguqv3ql1nsw6ybtpry"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0hgfrkl7nmh1b1axhsh" Type="http://schemas.openxmlformats.org/officeDocument/2006/relationships/hyperlink" Target="https://dalil.kg/document/402909" TargetMode="External"/><Relationship Id="rIdi-bob3jzgrbgxapwmqn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2026-10-04T17:58:57.469Z</dcterms:created>
  <dcterms:modified xsi:type="dcterms:W3CDTF">2026-10-04T17:58:57.469Z</dcterms:modified>
</cp:coreProperties>
</file>

<file path=docProps/custom.xml><?xml version="1.0" encoding="utf-8"?>
<Properties xmlns="http://schemas.openxmlformats.org/officeDocument/2006/custom-properties" xmlns:vt="http://schemas.openxmlformats.org/officeDocument/2006/docPropsVTypes"/>
</file>