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kwagdncuhr65e-tjsg-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КР</w:t>
      </w:r>
    </w:p>
    <w:p>
      <w:pPr>
        <w:spacing w:after="120"/>
        <w:jc w:val="both"/>
      </w:pPr>
      <w:r>
        <w:rPr>
          <w:rFonts w:ascii="Arial" w:cs="Arial" w:eastAsia="Arial" w:hAnsi="Arial"/>
          <w:sz w:val="24"/>
          <w:szCs w:val="24"/>
        </w:rPr>
        <w:t xml:space="preserve">от 6 ноября 2016 года № 190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февраля 2012 года № 25</w:t>
      </w:r>
    </w:p>
    <w:p>
      <w:pPr>
        <w:spacing w:after="120"/>
        <w:jc w:val="both"/>
      </w:pPr>
      <w:r>
        <w:rPr>
          <w:rFonts w:ascii="Arial" w:cs="Arial" w:eastAsia="Arial" w:hAnsi="Arial"/>
          <w:sz w:val="24"/>
          <w:szCs w:val="24"/>
        </w:rPr>
        <w:t xml:space="preserve">Об утверждении Инструкции "О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w:t>
      </w:r>
    </w:p>
    <w:p>
      <w:pPr>
        <w:spacing w:after="120"/>
        <w:jc w:val="both"/>
      </w:pPr>
      <w:r>
        <w:rPr>
          <w:rFonts w:ascii="Arial" w:cs="Arial" w:eastAsia="Arial" w:hAnsi="Arial"/>
          <w:sz w:val="24"/>
          <w:szCs w:val="24"/>
        </w:rPr>
        <w:t xml:space="preserve">Руководствуясь пунктом 2 части 1 статьи 7 </w:t>
      </w:r>
      <w:hyperlink w:history="1" r:id="rIdiaqksfdyi4yobydaretk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статьями 22, 24, 25 </w:t>
      </w:r>
      <w:hyperlink w:history="1" r:id="rIdqka0aypg0pqpdqoprtnz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0fgvyoeoxslpwz_7ggk_m">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 (прилагается).</w:t>
      </w:r>
    </w:p>
    <w:p>
      <w:pPr>
        <w:spacing w:after="120"/>
        <w:jc w:val="both"/>
      </w:pPr>
      <w:r>
        <w:rPr>
          <w:rFonts w:ascii="Arial" w:cs="Arial" w:eastAsia="Arial" w:hAnsi="Arial"/>
          <w:sz w:val="24"/>
          <w:szCs w:val="24"/>
        </w:rPr>
        <w:t xml:space="preserve">2. Опубликовать настоящее постановление и утвержденную Инструкцию "О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left"/>
      </w:pPr>
      <w:r>
        <w:rPr>
          <w:rFonts w:ascii="Arial" w:cs="Arial" w:eastAsia="Arial" w:hAnsi="Arial"/>
          <w:sz w:val="24"/>
          <w:szCs w:val="24"/>
        </w:rPr>
        <w:t xml:space="preserve">«О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 порядке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 (далее - Инструкция) разработана в целях реализации </w:t>
      </w:r>
      <w:r>
        <w:rPr>
          <w:rFonts w:ascii="Arial" w:cs="Arial" w:eastAsia="Arial" w:hAnsi="Arial"/>
          <w:sz w:val="24"/>
          <w:szCs w:val="24"/>
        </w:rPr>
        <w:t xml:space="preserve">пункта 19 статьи 22</w:t>
      </w:r>
      <w:r>
        <w:rPr>
          <w:rFonts w:ascii="Arial" w:cs="Arial" w:eastAsia="Arial" w:hAnsi="Arial"/>
          <w:sz w:val="24"/>
          <w:szCs w:val="24"/>
        </w:rPr>
        <w:t xml:space="preserve"> Закона Кыргызской Республики «О выборах депутатов местных кенешей»,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средствах массовой информации».</w:t>
      </w:r>
    </w:p>
    <w:p>
      <w:pPr>
        <w:spacing w:after="120"/>
        <w:jc w:val="both"/>
      </w:pPr>
      <w:r>
        <w:rPr>
          <w:rFonts w:ascii="Arial" w:cs="Arial" w:eastAsia="Arial" w:hAnsi="Arial"/>
          <w:sz w:val="24"/>
          <w:szCs w:val="24"/>
        </w:rPr>
        <w:t xml:space="preserve">2. Настоящая Инструкция определяет условия, порядок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 во время подготовки и проведения выборов депутатов местных кенешей Кыргызской Республики.</w:t>
      </w:r>
    </w:p>
    <w:p>
      <w:pPr>
        <w:spacing w:after="120"/>
        <w:jc w:val="both"/>
      </w:pPr>
      <w:r>
        <w:rPr>
          <w:rFonts w:ascii="Arial" w:cs="Arial" w:eastAsia="Arial" w:hAnsi="Arial"/>
          <w:sz w:val="24"/>
          <w:szCs w:val="24"/>
        </w:rPr>
        <w:t xml:space="preserve">3. Средства массовой информации, учредителями (соучредителями) которых являются органы государственной власти и местного самоуправления или их подведомственные учреждения и предприятия, которые финансируются полностью или частично за счет средств республиканского или местного бюджета, а также средства массовой информации, которые имеют льготы по уплате налогов и обязательных платежей по сравнению с другими средствами массовой информации, обязаны обеспечить кандидатам, политическим партиям, группам избирателей равные возможности проведения предвыборной агитации.</w:t>
      </w:r>
    </w:p>
    <w:p>
      <w:pPr>
        <w:spacing w:after="120"/>
        <w:jc w:val="both"/>
      </w:pPr>
      <w:r>
        <w:rPr>
          <w:rFonts w:ascii="Arial" w:cs="Arial" w:eastAsia="Arial" w:hAnsi="Arial"/>
          <w:sz w:val="24"/>
          <w:szCs w:val="24"/>
        </w:rPr>
        <w:t xml:space="preserve">4. Средства массовой информации, не подпадающие под действие </w:t>
      </w:r>
      <w:r>
        <w:rPr>
          <w:rFonts w:ascii="Arial" w:cs="Arial" w:eastAsia="Arial" w:hAnsi="Arial"/>
          <w:sz w:val="24"/>
          <w:szCs w:val="24"/>
        </w:rPr>
        <w:t xml:space="preserve">пункта 3 главы 1 настоящей Инструкции, вправе на договорной основе предоставить эфирное время, печатную площадь кандидатам, политическим партиям, группам избирателей в соответствии с Инструкцией.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 Условия и порядок предоставления кандидатам, политическим партиям, группам избирателей на каналах телерадиоорганизаций эфирного времени, печатной площади в периодических печатных изданиях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Общий объем бесплатного эфирного времени, выделяемого государственной телерадиоорганизацией для проведения агитации на выборах депутатов местных кенешей должен быть не менее одного часа в рабочие дни.</w:t>
      </w:r>
    </w:p>
    <w:p>
      <w:pPr>
        <w:spacing w:after="120"/>
        <w:jc w:val="both"/>
      </w:pPr>
      <w:r>
        <w:rPr>
          <w:rFonts w:ascii="Arial" w:cs="Arial" w:eastAsia="Arial" w:hAnsi="Arial"/>
          <w:sz w:val="24"/>
          <w:szCs w:val="24"/>
        </w:rPr>
        <w:t xml:space="preserve">6. Указанное бесплатное эфирное время распределяется между зарегистрированными и явившимися на передачу кандидатами, политическими партиями, группами избирателей, выдвинувшими списки кандидатов на равных основаниях.</w:t>
      </w:r>
    </w:p>
    <w:p>
      <w:pPr>
        <w:spacing w:after="120"/>
        <w:jc w:val="both"/>
      </w:pPr>
      <w:r>
        <w:rPr>
          <w:rFonts w:ascii="Arial" w:cs="Arial" w:eastAsia="Arial" w:hAnsi="Arial"/>
          <w:sz w:val="24"/>
          <w:szCs w:val="24"/>
        </w:rPr>
        <w:t xml:space="preserve">7. Не менее одной трети от общего объема выделяемого бесплатного эфирного времени отводится кандидатам, политическим партиям, группам избирателей, выдвинувшим списки кандидатов, исключительно для совместного проведения дискуссий, «круглых столов» и иных аналогичных агитационных мероприятий. К использованию этой доли бесплатного эфирного времени все кандидаты, политические партии, группы избирателей должны быть допущены на равных условиях.</w:t>
      </w:r>
    </w:p>
    <w:p>
      <w:pPr>
        <w:spacing w:after="120"/>
        <w:jc w:val="both"/>
      </w:pPr>
      <w:r>
        <w:rPr>
          <w:rFonts w:ascii="Arial" w:cs="Arial" w:eastAsia="Arial" w:hAnsi="Arial"/>
          <w:sz w:val="24"/>
          <w:szCs w:val="24"/>
        </w:rPr>
        <w:t xml:space="preserve">8. Регулирование порядка предоставления эфирного времени кандидатам, политическим партиям, группам избирателей на каналах телерадиоорганизаций, подпадающих под действие пункта 3 главы 1 настоящей Инструкции, устанавливается законодательством Кыргызской Республики.</w:t>
      </w:r>
    </w:p>
    <w:p>
      <w:pPr>
        <w:spacing w:after="120"/>
        <w:jc w:val="both"/>
      </w:pPr>
      <w:r>
        <w:rPr>
          <w:rFonts w:ascii="Arial" w:cs="Arial" w:eastAsia="Arial" w:hAnsi="Arial"/>
          <w:sz w:val="24"/>
          <w:szCs w:val="24"/>
        </w:rPr>
        <w:t xml:space="preserve">9. Порядок, объем и время радио- и телепередач, предназначенных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 и группами избирателей.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III. Права кандидатов, политических партий, групп избирателей во время проведения дебатов на каналах телерадиоорганизаций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Кандидаты, политические партии, группы избирателей имеют право на предоставление им бесплатного эфирного времени на каналах телерадиоорганизаций, подпадающих под действие пункта 3 главы 1 настоящей Инструкции, и осуществляющих телевизионное вещание и радиовещание на территории, на которой проводятся выборы.</w:t>
      </w:r>
    </w:p>
    <w:p>
      <w:pPr>
        <w:spacing w:after="120"/>
        <w:jc w:val="both"/>
      </w:pPr>
      <w:r>
        <w:rPr>
          <w:rFonts w:ascii="Arial" w:cs="Arial" w:eastAsia="Arial" w:hAnsi="Arial"/>
          <w:sz w:val="24"/>
          <w:szCs w:val="24"/>
        </w:rPr>
        <w:t xml:space="preserve">11. Указанное эфирное время должно приходиться на период, когда теле-, радиопрограммы собирают наибольшую аудиторию - с 20 до 24 часов.</w:t>
      </w:r>
    </w:p>
    <w:p>
      <w:pPr>
        <w:spacing w:after="120"/>
        <w:jc w:val="both"/>
      </w:pPr>
      <w:r>
        <w:rPr>
          <w:rFonts w:ascii="Arial" w:cs="Arial" w:eastAsia="Arial" w:hAnsi="Arial"/>
          <w:sz w:val="24"/>
          <w:szCs w:val="24"/>
        </w:rPr>
        <w:t xml:space="preserve">12. В совместных агитационных мероприятиях на каналах организаций телерадиовещания зарегистрированные кандидаты могут участвовать только лично, политические партии и группы избирателей - через уполномоченных представителей, доверенных лиц.</w:t>
      </w:r>
    </w:p>
    <w:p>
      <w:pPr>
        <w:spacing w:after="120"/>
        <w:jc w:val="both"/>
      </w:pPr>
      <w:r>
        <w:rPr>
          <w:rFonts w:ascii="Arial" w:cs="Arial" w:eastAsia="Arial" w:hAnsi="Arial"/>
          <w:sz w:val="24"/>
          <w:szCs w:val="24"/>
        </w:rPr>
        <w:t xml:space="preserve">13. Отказ от участия в совместном агитационном мероприятии не влечет увеличения объема бесплатного эфирного времени, предоставляемого отказавшимся от участия в совместном агитационном мероприятии зарегистрированному кандидату, политической партии или группе избирателей.</w:t>
      </w:r>
    </w:p>
    <w:p>
      <w:pPr>
        <w:spacing w:after="120"/>
        <w:jc w:val="both"/>
      </w:pPr>
      <w:r>
        <w:rPr>
          <w:rFonts w:ascii="Arial" w:cs="Arial" w:eastAsia="Arial" w:hAnsi="Arial"/>
          <w:sz w:val="24"/>
          <w:szCs w:val="24"/>
        </w:rPr>
        <w:t xml:space="preserve">14. Если кандидат, представитель политической партии, представитель группы избирателей не смогли принять участие в совместном агитационном мероприятии по объективным причинам, то они наряду с другими кандидатами, политическими партиями, группами избирателей, не принявшими участие в совместном агитационном мероприятии, вправе попросить использовать свое эфирное время.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 Требования к телерадиоорганизациям и периодическим печатным изданиям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Сведения о размере и других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10 календарных дней после официального опубликования решения о назначении выборов и представлены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16.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равенства кандидатов, политических партий, групп избирателей, в них не должно отдаваться предпочтение какому бы то ни было кандидату, политической партии, группе избирателей.</w:t>
      </w:r>
    </w:p>
    <w:p>
      <w:pPr>
        <w:spacing w:after="120"/>
        <w:jc w:val="both"/>
      </w:pPr>
      <w:r>
        <w:rPr>
          <w:rFonts w:ascii="Arial" w:cs="Arial" w:eastAsia="Arial" w:hAnsi="Arial"/>
          <w:sz w:val="24"/>
          <w:szCs w:val="24"/>
        </w:rPr>
        <w:t xml:space="preserve">17. Запрещается прерывать выступления кандидатов, представителей политических партий, групп избирателей, а также сопровождать их какими-либо комментариями во время телевизионного вещания и радиовещания.</w:t>
      </w:r>
    </w:p>
    <w:p>
      <w:pPr>
        <w:spacing w:after="120"/>
        <w:jc w:val="both"/>
      </w:pPr>
      <w:r>
        <w:rPr>
          <w:rFonts w:ascii="Arial" w:cs="Arial" w:eastAsia="Arial" w:hAnsi="Arial"/>
          <w:sz w:val="24"/>
          <w:szCs w:val="24"/>
        </w:rPr>
        <w:t xml:space="preserve">18. Размер оплаты за эфирное время, публикации в периодических печатных изданиях должен быть единым для всех кандидатов, политических партий и групп избирателей.</w:t>
      </w:r>
    </w:p>
    <w:p>
      <w:pPr>
        <w:spacing w:after="120"/>
        <w:jc w:val="both"/>
      </w:pPr>
      <w:r>
        <w:rPr>
          <w:rFonts w:ascii="Arial" w:cs="Arial" w:eastAsia="Arial" w:hAnsi="Arial"/>
          <w:sz w:val="24"/>
          <w:szCs w:val="24"/>
        </w:rPr>
        <w:t xml:space="preserve">19. Телерадиоорганизации, независимо от форм собственности, предоставившие кандидатам, политическим партиям, группам избирателей эфирное время, обязаны предоставить другим кандидатам, политическим партиям, группам избирателей эфирное время на тех же условиях (одинаковые расценка, время выхода в эфир, объем времени и другие условия).</w:t>
      </w:r>
    </w:p>
    <w:p>
      <w:pPr>
        <w:spacing w:after="120"/>
        <w:jc w:val="both"/>
      </w:pPr>
      <w:r>
        <w:rPr>
          <w:rFonts w:ascii="Arial" w:cs="Arial" w:eastAsia="Arial" w:hAnsi="Arial"/>
          <w:sz w:val="24"/>
          <w:szCs w:val="24"/>
        </w:rPr>
        <w:t xml:space="preserve">20. Порядок, объем и время радио- и телепередач, предназначенные для предвыборной агитации, устанавливаются избирательными комиссиями по согласованию с руководством телерадиоорганизаций и распределяются с соблюдением принципа равенства между кандидатами, политическими партиями и группами избирателей.</w:t>
      </w:r>
    </w:p>
    <w:p>
      <w:pPr>
        <w:spacing w:after="120"/>
        <w:jc w:val="both"/>
      </w:pPr>
      <w:r>
        <w:rPr>
          <w:rFonts w:ascii="Arial" w:cs="Arial" w:eastAsia="Arial" w:hAnsi="Arial"/>
          <w:sz w:val="24"/>
          <w:szCs w:val="24"/>
        </w:rPr>
        <w:t xml:space="preserve">21. Периодические печатные средства массовой информации, подпадающие под действие </w:t>
      </w:r>
      <w:r>
        <w:rPr>
          <w:rFonts w:ascii="Arial" w:cs="Arial" w:eastAsia="Arial" w:hAnsi="Arial"/>
          <w:sz w:val="24"/>
          <w:szCs w:val="24"/>
        </w:rPr>
        <w:t xml:space="preserve">пункта 2  главы 1 настоящей Инструкции, и распространяемые на территории, на которой проводятся выборы, за исключением изданий, учрежденных органами государственной власти и органами местного самоуправления исключительно для публикации официальных сообщений и материалов, нормативных и иных актов, должны выделить на равных условиях бесплатные печатные площади для материалов, предоставляемых кандидатами, политическими партиями, группами избирателей, выдвинувшими зарегистрированные списки кандидатов, в размере не менее одной страницы формата А4.</w:t>
      </w:r>
    </w:p>
    <w:p>
      <w:pPr>
        <w:spacing w:after="120"/>
        <w:jc w:val="both"/>
      </w:pPr>
      <w:r>
        <w:rPr>
          <w:rFonts w:ascii="Arial" w:cs="Arial" w:eastAsia="Arial" w:hAnsi="Arial"/>
          <w:sz w:val="24"/>
          <w:szCs w:val="24"/>
        </w:rPr>
        <w:t xml:space="preserve">22. Печатные издания, независимо от форм собственности, предоставившие кандидатам, политическим партиям, группам избирателей печатные площади, обязаны предоставить другим кандидатам, политическим партиям, группам избирателей печатные площади на тех же условиях (одинаковые расценка, объем и другие условия). При этом стоимость печатной площади не может превышать стоимости, которая взималась за 6 месяцев до дня назначения выборов.</w:t>
      </w:r>
    </w:p>
    <w:p>
      <w:pPr>
        <w:spacing w:after="120"/>
        <w:jc w:val="both"/>
      </w:pPr>
      <w:r>
        <w:rPr>
          <w:rFonts w:ascii="Arial" w:cs="Arial" w:eastAsia="Arial" w:hAnsi="Arial"/>
          <w:sz w:val="24"/>
          <w:szCs w:val="24"/>
        </w:rPr>
        <w:t xml:space="preserve">23.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предвыборной кампании в какой бы то ни было форме.</w:t>
      </w:r>
    </w:p>
    <w:p>
      <w:pPr>
        <w:spacing w:after="120"/>
        <w:jc w:val="both"/>
      </w:pPr>
      <w:r>
        <w:rPr>
          <w:rFonts w:ascii="Arial" w:cs="Arial" w:eastAsia="Arial" w:hAnsi="Arial"/>
          <w:sz w:val="24"/>
          <w:szCs w:val="24"/>
        </w:rPr>
        <w:t xml:space="preserve">24. Телерадиоорганизации, подпадающие под действие пункта 2 главы 1 настоящей Инструкции, применительно к уровню выборов обязаны резервировать платное эфирное время для проведения агитации кандидатами, политическими партиями и группами избирателей.</w:t>
      </w:r>
    </w:p>
    <w:p>
      <w:pPr>
        <w:spacing w:after="120"/>
        <w:jc w:val="both"/>
      </w:pPr>
      <w:r>
        <w:rPr>
          <w:rFonts w:ascii="Arial" w:cs="Arial" w:eastAsia="Arial" w:hAnsi="Arial"/>
          <w:sz w:val="24"/>
          <w:szCs w:val="24"/>
        </w:rPr>
        <w:t xml:space="preserve">25. Указанное эфирное время должно предоставляться на условиях договора соответствующему кандидату, политической партии, группе избирателей за плату по их требованию.</w:t>
      </w:r>
    </w:p>
    <w:p>
      <w:pPr>
        <w:spacing w:after="120"/>
        <w:jc w:val="both"/>
      </w:pPr>
      <w:r>
        <w:rPr>
          <w:rFonts w:ascii="Arial" w:cs="Arial" w:eastAsia="Arial" w:hAnsi="Arial"/>
          <w:sz w:val="24"/>
          <w:szCs w:val="24"/>
        </w:rPr>
        <w:t xml:space="preserve">26. Общий объем резервируемого платного эфирного времени не может быть меньше общего объема бесплатного эфирного времени, а также размер оплаты должен быть единым для всех кандидатов, политических партий, групп избирателей.</w:t>
      </w:r>
    </w:p>
    <w:p>
      <w:pPr>
        <w:spacing w:after="120"/>
        <w:jc w:val="both"/>
      </w:pPr>
      <w:r>
        <w:rPr>
          <w:rFonts w:ascii="Arial" w:cs="Arial" w:eastAsia="Arial" w:hAnsi="Arial"/>
          <w:sz w:val="24"/>
          <w:szCs w:val="24"/>
        </w:rPr>
        <w:t xml:space="preserve">27. При этом каждый кандидат, политическая партия, группа избирателей вправе получить из общего объема зарезервированного эфирного времени время в пределах доли, полученной делением этого объема на общее число кандидатов, политических партий, групп избирателей.</w:t>
      </w:r>
    </w:p>
    <w:p>
      <w:pPr>
        <w:spacing w:after="120"/>
        <w:jc w:val="both"/>
      </w:pPr>
      <w:r>
        <w:rPr>
          <w:rFonts w:ascii="Arial" w:cs="Arial" w:eastAsia="Arial" w:hAnsi="Arial"/>
          <w:sz w:val="24"/>
          <w:szCs w:val="24"/>
        </w:rPr>
        <w:t xml:space="preserve">28. Стоимость предоставляемого кандидатам, политическим партиям, группам избирателей платного эфирного времени не может превышать стоимости, которая взималась за 6 месяцев до дня назначения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i9bshahjtj5opcfhnxo">
      <w:r>
        <w:rPr>
          <w:rFonts w:ascii="Arial" w:cs="Arial" w:eastAsia="Arial" w:hAnsi="Arial"/>
          <w:color w:val="132D3F"/>
          <w:sz w:val="16"/>
          <w:szCs w:val="16"/>
          <w:u w:val="single"/>
        </w:rPr>
        <w:t xml:space="preserve">dalil.kg/document/402911</w:t>
      </w:r>
    </w:hyperlink>
  </w:p>
  <w:p>
    <w:pPr>
      <w:spacing w:after="0" w:before="40"/>
      <w:jc w:val="center"/>
    </w:pPr>
    <w:hyperlink w:history="1" r:id="rIdlccycvoo1di9nk4eenki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agdncuhr65e-tjsg-9o" Type="http://schemas.openxmlformats.org/officeDocument/2006/relationships/hyperlink" Target="https://dalil.kg/document/12353" TargetMode="External"/><Relationship Id="rIdiaqksfdyi4yobydaretk6" Type="http://schemas.openxmlformats.org/officeDocument/2006/relationships/hyperlink" Target="https://dalil.kg/document/203100" TargetMode="External"/><Relationship Id="rIdqka0aypg0pqpdqoprtnzt" Type="http://schemas.openxmlformats.org/officeDocument/2006/relationships/hyperlink" Target="https://dalil.kg/document/203103" TargetMode="External"/><Relationship Id="rId0fgvyoeoxslpwz_7ggk_m" Type="http://schemas.openxmlformats.org/officeDocument/2006/relationships/hyperlink" Target="https://dalil.kg/document/402911#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i9bshahjtj5opcfhnxo" Type="http://schemas.openxmlformats.org/officeDocument/2006/relationships/hyperlink" Target="https://dalil.kg/document/402911" TargetMode="External"/><Relationship Id="rIdlccycvoo1di9nk4eenki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2026-10-04T18:01:38.275Z</dcterms:created>
  <dcterms:modified xsi:type="dcterms:W3CDTF">2026-10-04T18:01:38.275Z</dcterms:modified>
</cp:coreProperties>
</file>

<file path=docProps/custom.xml><?xml version="1.0" encoding="utf-8"?>
<Properties xmlns="http://schemas.openxmlformats.org/officeDocument/2006/custom-properties" xmlns:vt="http://schemas.openxmlformats.org/officeDocument/2006/docPropsVTypes"/>
</file>