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 Сессия Ошского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2017 г № 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расчетах по определению арендной платы за использование зданий (мест внутри здания), в том числе административных зданий в городе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Ошского городского кенеша от </w:t>
      </w:r>
      <w:hyperlink w:history="1" r:id="rIdjzp17s3ni9cyazvnogw7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ноября 2022 года № 82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мэрии города Ош №166/08-06 от 11 мая 2017 года о внесении изменений в коэффициент К3 за пользование местом по направлениям для расчета по определению арендной платы для помещений, используемых для продажи лекарственных средств и офисов, в соответствии со статьёй 15 </w:t>
      </w:r>
      <w:hyperlink w:history="1" r:id="rIda-bvlngs0hqtdjaj_g7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земли, аграрии, экологии и чрезвычайных ситуаций №20 от 12 июля 2017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Расчеты по определению арендной платы за использование зданий (мест внутри здания), в том числе административных зданий в городе Ош производить согласно </w:t>
      </w:r>
      <w:hyperlink w:history="1" r:id="rIdu_srnlncv7mwy_icpdw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утративщим силу приложение №2 постановления №230 Ошского городского Кенеша депутатов от 30 марта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муниципальной собственности мэрии города Ош (А.Семетеев):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-I квартале 2018 года внести предложения в Ошский городской Кенеш по изменению коэффициентов за расположение мест, технического обустройства, по направлениям использования мест, карты зон экономического планирования для расчетов определения арендной платы за использование зданий (мест внутри здания)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постановлению очередной </w:t>
      </w:r>
      <w:r>
        <w:rPr>
          <w:rFonts w:ascii="Arial" w:cs="Arial" w:eastAsia="Arial" w:hAnsi="Arial"/>
          <w:sz w:val="24"/>
          <w:szCs w:val="24"/>
        </w:rPr>
        <w:t xml:space="preserve">XIV сессии Ошского </w:t>
      </w:r>
      <w:r>
        <w:rPr>
          <w:rFonts w:ascii="Arial" w:cs="Arial" w:eastAsia="Arial" w:hAnsi="Arial"/>
          <w:sz w:val="24"/>
          <w:szCs w:val="24"/>
        </w:rPr>
        <w:t xml:space="preserve">городского Кенеша </w:t>
      </w:r>
      <w:r>
        <w:rPr>
          <w:rFonts w:ascii="Arial" w:cs="Arial" w:eastAsia="Arial" w:hAnsi="Arial"/>
          <w:sz w:val="24"/>
          <w:szCs w:val="24"/>
        </w:rPr>
        <w:t xml:space="preserve">№ 82 от 15 ноября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определению арендной платы 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использование зданий (мест внутри здания),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том числе административных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Ошского городского кенеша от </w:t>
      </w:r>
      <w:hyperlink w:history="1" r:id="rIdlq1bppo1ticzojskcaba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ноября 2022 года № 82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расчет разработан в соответствии с Гражданским </w:t>
      </w:r>
      <w:hyperlink w:history="1" r:id="rIdxv4z3oiehs4reciviop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постановлением №8-пк от 28 марта 2003 года коллегии государственного комитета Кыргызской Республики по управлению государственным имуществом и привлечению прямых инвестиций и другими нормативными актами, определяющими иные арендные отношения, а также определяет порядок исчисления арендной платы и утверждения договоров аренды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ежемесячный арендной платы за использование зданий (мест внутри здания, далее место) определяется по нижеследующей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Аг.пл. = Тб х (1+К1+К2+К3) х К4 х S :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Аг.пл. – размер ежемесячной арендной платы за место (здание);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Тб  - базовый тариф годовой арендной платы за 1м2 равной 200 сомам;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расположения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технического обустройства;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К3 - отраслевой коэффициент использования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К4 - коэффициент размещения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коэффициентов при использовании расчета определяется по нижеследующим критериям.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К1 - коэффициент расположения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Отдельно стоящее здание – 0,8.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 внутри здания – 0,7.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Дополнительно пристроенное помещение – 0,4.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Полуподвальное помещение (цоколь) – 0,3.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Подвальное помещение – 0,3.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б). К2 – коэффициент технического обустройства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Водоснабжение, канализация, горячая вода, центральное отопление – 0,7.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Водоснабжение, канализация, центральное отопление – 0,6.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Центральное отопление – 0,3.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Водоснабжение, канализация – 0,3.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Нет технической системы – 0,2.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в). К3 - отраслевой коэффициент использования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Гаражи, склады и другие подсобные помещения – 0,4.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Мастерские художников, скульпторов, архитекторов и народных умельцев – 0,8.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Помещения оказываемые бытовые услуги (ремонт обуви, одежды, бытовой техники, химчистка, парикмахерские, салоны красоты, косметологические салоны, пункты прокатов, бани)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Места используемые для реализации хлеба и хлебобулочных изделий, молочных продуктов, продовольственных товаров, кондитерских изделий, безалкогольных напитков, предприятия общественного питания, производящие и реализующие продукты питания, помещения лабораторий, аудиторий для проектно-исследовательской работы, объекты оказывающие почтовые, медицинские, физкультурно-оздоровительные услуги – 1,5.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Реализация лекарств – 7,0.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Общественные столовые, готовящие и реализующие еду – 1,5.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Места по ремонту и техническому обслуживанию автомобилей, вычислительной и другой техники, копирование (ксерокопирование) материалов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Электронные, компьютерные и другие аттракционы, развлекательные игровые залы – 2,5.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Помещения используемые для офисов – 4,5.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Рестораны, бильярдные, бары, кафе, дискотеки, сауны, фитнес клубы – 6,0.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Финансовые учреждения, страховые компании, биржи – 8,0.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Места используемые в производственных целях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Бильярдные, казино – 12,0.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Места, кроме перечисленных в пунктах 1-13 – 5,0.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г). К4 - коэффициент размещения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данного коэффициента необходимо учитывать спрос на сдаваемое в аренду помещение, возможности использования его окрестностей, особенности территориально-экономической зоны и другие критерии качества помещения, не учтенные вышеуказанным коэффицентом.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нежилых зданий, строений, расположенных в первом и втором квадрате зонирования, находящихся в муниципальной собственности города Ош – 2,1.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недвижимых объектов, расположенных в третьем и четвертом квадрате зонирования, находящихся в муниципальной собственности города Ош – 1,7.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исключением объектов, расположенных в первом, втором, третьем и четвертом квадрате зонирования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затраты балансодержателя на содержание 1 кв.м. площади для арендодателя больше расчетной суммы Тб, в этом случае расходы балансодержателя принимаются в виде годовой арендной платы за 1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за пользование зданиями (помещениями), находящимися в муниципальной собственности города Ош, не может быть ниже суммы арендной платы, исчисленной по данному расчету.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сумму арендной платы не включаются расходы на эксплуатацию здания, помещения и мелкий (текущий) ремонт, а также расходы на отопление и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арендная плата уплачивается арендатором в виде фиксированных платежей в соответствии с договором, в течение 10 банковских дней полная сумма перечисления в местный бюджет перечисляется на счет держателя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арендной платы может быть изменен в сроки, оговоренные в договоре. Но изменение не должно происходить чаще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согласованных сторонами в письменной форме условий о размере арендной платы, то договор аренды считается незаключенным.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Примеры расчетов: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1: Арендатор вносит следующую ежемесячную арендную плату за нежилое помещение (офис) площадью 20 кв.м., расположенное в старом здании мэрии по адресу улица Ленина, д.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Аг.пл. = Тб х (1+К1+К2+К3) х К4 х S :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Аг.пл. =200х(1+0,7+0,3+4,5)х2,1х20:12=4550 сомов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кв.м. 228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0q_y8vuhcttympqf_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dalil.kg/document/407040</w:t>
      </w:r>
    </w:hyperlink>
  </w:p>
  <w:p>
    <w:pPr>
      <w:spacing w:after="0" w:before="40"/>
      <w:jc w:val="center"/>
    </w:pPr>
    <w:hyperlink w:history="1" r:id="rIdrob-kbyxfmi7bm-zkjp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p17s3ni9cyazvnogw7l" Type="http://schemas.openxmlformats.org/officeDocument/2006/relationships/hyperlink" Target="https://dalil.kg/document/230032626" TargetMode="External"/><Relationship Id="rIda-bvlngs0hqtdjaj_g7zs" Type="http://schemas.openxmlformats.org/officeDocument/2006/relationships/hyperlink" Target="https://dalil.kg/document/205093" TargetMode="External"/><Relationship Id="rIdu_srnlncv7mwy_icpdwdn" Type="http://schemas.openxmlformats.org/officeDocument/2006/relationships/hyperlink" Target="https://dalil.kg/document/407040#p1" TargetMode="External"/><Relationship Id="rIdlq1bppo1ticzojskcabap" Type="http://schemas.openxmlformats.org/officeDocument/2006/relationships/hyperlink" Target="https://dalil.kg/document/230032626" TargetMode="External"/><Relationship Id="rIdxv4z3oiehs4reciviopdd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0q_y8vuhcttympqf_8x" Type="http://schemas.openxmlformats.org/officeDocument/2006/relationships/hyperlink" Target="https://dalil.kg/document/407040" TargetMode="External"/><Relationship Id="rIdrob-kbyxfmi7bm-zkjp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2026-09-29T00:03:35.893Z</dcterms:created>
  <dcterms:modified xsi:type="dcterms:W3CDTF">2026-09-29T00:03:35.893Z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