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ОШСКИЙ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Очередная X Сессия Ошского городского кенеша (IV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декабря 2017 г № 9</w:t>
      </w:r>
      <w:r>
        <w:rPr>
          <w:rFonts w:ascii="Arial" w:cs="Arial" w:eastAsia="Arial" w:hAnsi="Arial"/>
          <w:sz w:val="24"/>
          <w:szCs w:val="24"/>
        </w:rPr>
        <w:t xml:space="preserve">8</w:t>
      </w:r>
    </w:p>
    <w:p>
      <w:pPr>
        <w:spacing w:after="120"/>
        <w:jc w:val="both"/>
      </w:pPr>
      <w:r>
        <w:rPr>
          <w:rFonts w:ascii="Arial" w:cs="Arial" w:eastAsia="Arial" w:hAnsi="Arial"/>
          <w:sz w:val="28"/>
          <w:szCs w:val="28"/>
        </w:rPr>
        <w:t xml:space="preserve">Об утверждении плана управления пастбищами, развития животноводства сообществ Жапалакского территориального управления сңл и бюджета пастбищного комитета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и обсудив письмо мэрии города Ош №626/08-13 об утверждении плана управления пастбищами, развития животноводства сообществ Жапалакского территориального управления сңл и бюджета пастбищного комитета от 20 октября 2017 года, в соответствии со статьями 8 и 10 </w:t>
      </w:r>
      <w:hyperlink w:history="1" r:id="rIdwxzasa2xhrbokhhscuyg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принимая во внимание постановление постоянной депутатской комиссии Ошского городского Кенеша по вопросам архитектуры, строительства, муниципальной собственности, имущества, аграрии, экологии и чрезвычайных ситуаций №30 от 13 ноября 2017 года, а также мнения и предложения депутатов, выступивших на сессии, Ошский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1.Утвердить на 2017 год план работы по управлению пастбищами и развитию животноводства сообществ Жапалакского территориального управления сңл согласно </w:t>
      </w:r>
      <w:hyperlink w:history="1" r:id="rIdneqz9uzsnn3m9eutt0uui">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бюджет пастбищного комитета согласно </w:t>
      </w:r>
      <w:hyperlink w:history="1" r:id="rIdmm4kyd0dnu5vmrwt2lii9">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типовой договор по приему-передаче пастбищных угодий согласно </w:t>
      </w:r>
      <w:hyperlink w:history="1" r:id="rId_wjn-ycwf-rijio7zugyn">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(приложения прилагаются).</w:t>
      </w:r>
    </w:p>
    <w:p>
      <w:pPr>
        <w:spacing w:after="120"/>
        <w:jc w:val="both"/>
      </w:pPr>
      <w:r>
        <w:rPr>
          <w:rFonts w:ascii="Arial" w:cs="Arial" w:eastAsia="Arial" w:hAnsi="Arial"/>
          <w:sz w:val="24"/>
          <w:szCs w:val="24"/>
        </w:rPr>
        <w:t xml:space="preserve">2.Постановление зарегистрировать в установленном законодательством порядке (Б.Астанакулов) и опубликовать в средствах массовой информации (Р.Эргашева).</w:t>
      </w:r>
    </w:p>
    <w:p>
      <w:pPr>
        <w:spacing w:after="120"/>
        <w:jc w:val="both"/>
      </w:pPr>
      <w:r>
        <w:rPr>
          <w:rFonts w:ascii="Arial" w:cs="Arial" w:eastAsia="Arial" w:hAnsi="Arial"/>
          <w:sz w:val="24"/>
          <w:szCs w:val="24"/>
        </w:rPr>
        <w:t xml:space="preserve">3.Контроль исполнения постановления возложить на постоянную депутатскую комиссию Ошского городского Кенеша по вопросам архитектуры, строительства, муниципальной собственности, имущества, земли, экологии, аграрной и чрезвычайной ситуации (Н.Рашев).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 Ормонов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right"/>
      </w:pPr>
      <w:r>
        <w:rPr>
          <w:rFonts w:ascii="Arial" w:cs="Arial" w:eastAsia="Arial" w:hAnsi="Arial"/>
          <w:sz w:val="24"/>
          <w:szCs w:val="24"/>
        </w:rPr>
        <w:t xml:space="preserve">к </w:t>
      </w:r>
      <w:hyperlink w:history="1" r:id="rIdvebmnx_z2s7vdulhmcu1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 98 очередной X сессии</w:t>
      </w:r>
    </w:p>
    <w:p>
      <w:pPr>
        <w:spacing w:after="120"/>
        <w:jc w:val="right"/>
      </w:pPr>
      <w:r>
        <w:rPr>
          <w:rFonts w:ascii="Arial" w:cs="Arial" w:eastAsia="Arial" w:hAnsi="Arial"/>
          <w:sz w:val="24"/>
          <w:szCs w:val="24"/>
        </w:rPr>
        <w:t xml:space="preserve">(IV созыв) Ошского городского</w:t>
      </w:r>
    </w:p>
    <w:p>
      <w:pPr>
        <w:spacing w:after="120"/>
        <w:jc w:val="right"/>
      </w:pPr>
      <w:r>
        <w:rPr>
          <w:rFonts w:ascii="Arial" w:cs="Arial" w:eastAsia="Arial" w:hAnsi="Arial"/>
          <w:sz w:val="24"/>
          <w:szCs w:val="24"/>
        </w:rPr>
        <w:t xml:space="preserve"> Кенеша от 26 декабря 2017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СООБЩЕСТВА ПО УПРАВЛЕНИЮ</w:t>
      </w:r>
    </w:p>
    <w:p>
      <w:pPr>
        <w:spacing w:after="240" w:before="200"/>
        <w:jc w:val="center"/>
      </w:pPr>
      <w:r>
        <w:rPr>
          <w:rFonts w:ascii="Arial" w:cs="Arial" w:eastAsia="Arial" w:hAnsi="Arial"/>
          <w:b/>
          <w:bCs/>
          <w:sz w:val="32"/>
          <w:szCs w:val="32"/>
        </w:rPr>
        <w:t xml:space="preserve">ПАСТБИЩАМИ И РАЗВИТИЯ ЖИВОТНОВОДСТВА</w:t>
      </w:r>
    </w:p>
    <w:p>
      <w:pPr>
        <w:spacing w:after="240" w:before="200"/>
        <w:jc w:val="center"/>
      </w:pPr>
      <w:r>
        <w:rPr>
          <w:rFonts w:ascii="Arial" w:cs="Arial" w:eastAsia="Arial" w:hAnsi="Arial"/>
          <w:b/>
          <w:bCs/>
          <w:sz w:val="32"/>
          <w:szCs w:val="32"/>
        </w:rPr>
        <w:t xml:space="preserve">Жапалакского территориального управления сңл на 2017 г.</w:t>
      </w:r>
    </w:p>
    <w:p>
      <w:pPr>
        <w:spacing w:after="120"/>
        <w:jc w:val="both"/>
      </w:pPr>
      <w:r>
        <w:rPr>
          <w:rFonts w:ascii="Arial" w:cs="Arial" w:eastAsia="Arial" w:hAnsi="Arial"/>
          <w:sz w:val="24"/>
          <w:szCs w:val="24"/>
        </w:rPr>
        <w:t xml:space="preserve">с.Жапалак города Ош, 2017 г.</w:t>
      </w:r>
    </w:p>
    <w:p>
      <w:pPr>
        <w:spacing w:after="120"/>
        <w:jc w:val="both"/>
      </w:pPr>
      <w:r>
        <w:rPr>
          <w:rFonts w:ascii="Arial" w:cs="Arial" w:eastAsia="Arial" w:hAnsi="Arial"/>
          <w:sz w:val="24"/>
          <w:szCs w:val="24"/>
        </w:rPr>
        <w:t xml:space="preserve">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ТУС – Территориального управление сңл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ИК – Изменение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КРС – Крупно-рогатый скот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ЛХ –Лесное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МРС – Мелко-рогатый скот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ПК – Пастбищный Комитет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ПИО – Пункт искусственного осеменения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ОФ – Общественный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 – Условная голова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Пятилетний План сообществ по управлению пастбищами, составленный Объединением пастбищепользователей Жапалакского территориального управления сңл (ТУС), рассматривает мероприятия по реализации рабочих планов данного Пастбищного комитета по улучшению пастбищных угодий Жапалакского ТУС.</w:t>
      </w:r>
    </w:p>
    <w:p>
      <w:pPr>
        <w:spacing w:after="120"/>
        <w:jc w:val="both"/>
      </w:pPr>
      <w:r>
        <w:rPr>
          <w:rFonts w:ascii="Arial" w:cs="Arial" w:eastAsia="Arial" w:hAnsi="Arial"/>
          <w:sz w:val="24"/>
          <w:szCs w:val="24"/>
        </w:rPr>
        <w:t xml:space="preserve">Жапалакский ТУС расположен на расстоянии от:</w:t>
      </w:r>
    </w:p>
    <w:p>
      <w:pPr>
        <w:tabs>
          <w:tab w:val="right" w:pos="10178"/>
        </w:tabs>
        <w:spacing w:after="120"/>
      </w:pPr>
      <w:r>
        <w:rPr>
          <w:rFonts w:ascii="Arial" w:cs="Arial" w:eastAsia="Arial" w:hAnsi="Arial"/>
          <w:sz w:val="24"/>
          <w:szCs w:val="24"/>
        </w:rPr>
        <w:t xml:space="preserve">Столицы Республики</w:t>
      </w:r>
      <w:r>
        <w:rPr>
          <w:rFonts w:ascii="Arial" w:cs="Arial" w:eastAsia="Arial" w:hAnsi="Arial"/>
          <w:sz w:val="24"/>
          <w:szCs w:val="24"/>
        </w:rPr>
        <w:t xml:space="preserve">	</w:t>
      </w:r>
      <w:r>
        <w:rPr>
          <w:rFonts w:ascii="Arial" w:cs="Arial" w:eastAsia="Arial" w:hAnsi="Arial"/>
          <w:sz w:val="24"/>
          <w:szCs w:val="24"/>
        </w:rPr>
        <w:t xml:space="preserve">700 км</w:t>
      </w:r>
    </w:p>
    <w:p>
      <w:pPr>
        <w:spacing w:after="120"/>
        <w:jc w:val="both"/>
      </w:pPr>
      <w:r>
        <w:rPr>
          <w:rFonts w:ascii="Arial" w:cs="Arial" w:eastAsia="Arial" w:hAnsi="Arial"/>
          <w:sz w:val="24"/>
          <w:szCs w:val="24"/>
        </w:rPr>
        <w:t xml:space="preserve">Физико-географическая характеристика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целом климат на территории Жапалакского ТУС умеренный. Теплое лето меняется относительно мягкой зимой. Высотные отметки температуры в холодные дни приходятся на январь, а в теплые дни на июль месяцы. Абсолютный минимум температуры воздуха достигает от-20 до -150 С, абсолютный максимум от +70до+400С.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Социально-экономическая характеристика Жапалакского ТУ</w:t>
      </w:r>
      <w:r>
        <w:rPr>
          <w:rFonts w:ascii="Arial" w:cs="Arial" w:eastAsia="Arial" w:hAnsi="Arial"/>
          <w:sz w:val="24"/>
          <w:szCs w:val="24"/>
        </w:rPr>
        <w:t xml:space="preserve">С</w:t>
      </w:r>
    </w:p>
    <w:p>
      <w:pPr>
        <w:spacing w:after="120"/>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6"/>
        <w:gridCol w:w="4756"/>
        <w:gridCol w:w="2378"/>
        <w:gridCol w:w="2379"/>
      </w:tblGrid>
      <w:tr>
        <w:tc>
          <w:tcPr>
            <w:tcW w:type="dxa" w:w="6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w:t>
            </w:r>
          </w:p>
        </w:tc>
        <w:tc>
          <w:tcPr>
            <w:tcW w:type="dxa" w:w="23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w:t>
            </w:r>
          </w:p>
        </w:tc>
        <w:tc>
          <w:tcPr>
            <w:tcW w:type="dxa" w:w="23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населения</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Человек</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29006</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дворов</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5255</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территории ТУС</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 кв.км.</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Приусадебные участки</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52550 кв.м.</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пастбищ:</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2281</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зимние пастбища</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весенне-осенние</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летние</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арендуемые пастбища у Карасууйского ЛХ</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1570</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пахотных земель, в т.ч.:</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В.том числе:</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эспарцет/люцерна</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естественный сенокос</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КРС</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голова</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МРС</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голова</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14214</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Лошади</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голова</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Верблюды</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голова</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Ослы</w:t>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голова</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разработки плана</w:t>
      </w:r>
    </w:p>
    <w:p>
      <w:pPr>
        <w:spacing w:after="120"/>
        <w:jc w:val="both"/>
      </w:pPr>
      <w:r>
        <w:rPr>
          <w:rFonts w:ascii="Arial" w:cs="Arial" w:eastAsia="Arial" w:hAnsi="Arial"/>
          <w:sz w:val="24"/>
          <w:szCs w:val="24"/>
        </w:rPr>
        <w:t xml:space="preserve">     В целях уменьшения вреда и потерь, которые наносят негативное влияние на природный комплекс пастбищных угодий, увеличения их продуктивности разрабатывается план управления пастбищами. План служит координации деятельности соответствующих заинтересованных сторон. Пятилетний План сообществ по управлению пастбищами, составленный Объединением пастбищепользователей Жапалакского территориального управления сңл, рассматривает необходимые мероприятия по реализации рабочих планов данного Пастбищного комитета по улучшению пастбищных угодий Жапалакского ТУС.</w:t>
      </w:r>
    </w:p>
    <w:p>
      <w:pPr>
        <w:spacing w:after="120"/>
        <w:jc w:val="both"/>
      </w:pPr>
      <w:r>
        <w:rPr>
          <w:rFonts w:ascii="Arial" w:cs="Arial" w:eastAsia="Arial" w:hAnsi="Arial"/>
          <w:sz w:val="24"/>
          <w:szCs w:val="24"/>
        </w:rPr>
        <w:t xml:space="preserve">Согласно закону “О пастбищах” Кыргызской Республики, был создан Пастбищный Комитет Жапалакского ТУС и 27-января 2010 г прошел регистрацию в Ошском областном управлении юстиции как юридическое лицо.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Краткая информация об Объединении пастбищепользователей (ОПП) Жапалакского ТУ</w:t>
      </w:r>
      <w:r>
        <w:rPr>
          <w:rFonts w:ascii="Arial" w:cs="Arial" w:eastAsia="Arial" w:hAnsi="Arial"/>
          <w:sz w:val="24"/>
          <w:szCs w:val="24"/>
        </w:rPr>
        <w:t xml:space="preserve">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Объединение пастбище пользователей Жапалакского ТУС является органом территориального общественного самоуправления Жапалакского ТУС.</w:t>
      </w:r>
    </w:p>
    <w:p>
      <w:pPr>
        <w:spacing w:after="120"/>
        <w:jc w:val="both"/>
      </w:pPr>
      <w:r>
        <w:rPr>
          <w:rFonts w:ascii="Arial" w:cs="Arial" w:eastAsia="Arial" w:hAnsi="Arial"/>
          <w:sz w:val="24"/>
          <w:szCs w:val="24"/>
        </w:rPr>
        <w:t xml:space="preserve">ОПП – это объединение, созданное по собственному желанию населения Жапалакского ТУС.</w:t>
      </w:r>
    </w:p>
    <w:p>
      <w:pPr>
        <w:spacing w:after="120"/>
        <w:jc w:val="both"/>
      </w:pPr>
      <w:r>
        <w:rPr>
          <w:rFonts w:ascii="Arial" w:cs="Arial" w:eastAsia="Arial" w:hAnsi="Arial"/>
          <w:sz w:val="24"/>
          <w:szCs w:val="24"/>
        </w:rPr>
        <w:t xml:space="preserve">В 2009-году 15-сентября на внеочередной сессии депутатов Жапалакского сельского совета было принято постановление “О создании объединения пастбищепользователей”. В этом постановлении были утверждены, согласно решению общего собрания населения Жаплакского УС, устав Объединения пастбищепользователей, состав Пастбищного комитета и состав ревизионной комиссии.</w:t>
      </w:r>
    </w:p>
    <w:p>
      <w:pPr>
        <w:spacing w:after="120"/>
        <w:jc w:val="both"/>
      </w:pPr>
      <w:r>
        <w:rPr>
          <w:rFonts w:ascii="Arial" w:cs="Arial" w:eastAsia="Arial" w:hAnsi="Arial"/>
          <w:sz w:val="24"/>
          <w:szCs w:val="24"/>
        </w:rPr>
        <w:t xml:space="preserve">Председателем Пастбищного комитета избран: Салиев Акылбек и главным бухгалтерем назначили Ташбаева Ч.</w:t>
      </w:r>
    </w:p>
    <w:p>
      <w:pPr>
        <w:spacing w:after="120"/>
        <w:jc w:val="both"/>
      </w:pPr>
      <w:r>
        <w:rPr>
          <w:rFonts w:ascii="Arial" w:cs="Arial" w:eastAsia="Arial" w:hAnsi="Arial"/>
          <w:sz w:val="24"/>
          <w:szCs w:val="24"/>
        </w:rPr>
        <w:t xml:space="preserve">ОПП, находясь на терртори Жапалакского УС, осуществляет деятельность на всей территории Жапалакского УС г.Ош.</w:t>
      </w:r>
    </w:p>
    <w:p>
      <w:pPr>
        <w:spacing w:after="120"/>
        <w:jc w:val="both"/>
      </w:pPr>
      <w:r>
        <w:rPr>
          <w:rFonts w:ascii="Arial" w:cs="Arial" w:eastAsia="Arial" w:hAnsi="Arial"/>
          <w:sz w:val="24"/>
          <w:szCs w:val="24"/>
        </w:rPr>
        <w:t xml:space="preserve">– Срок действия ОПП не ограничен.</w:t>
      </w:r>
    </w:p>
    <w:p>
      <w:pPr>
        <w:spacing w:after="120"/>
        <w:jc w:val="both"/>
      </w:pPr>
      <w:r>
        <w:rPr>
          <w:rFonts w:ascii="Arial" w:cs="Arial" w:eastAsia="Arial" w:hAnsi="Arial"/>
          <w:sz w:val="24"/>
          <w:szCs w:val="24"/>
        </w:rPr>
        <w:t xml:space="preserve">ОПП–является некоммерческой организацией. Организационно-правовой формой ОПП является территориально общественное самоуправление (ТОС).</w:t>
      </w:r>
    </w:p>
    <w:p>
      <w:pPr>
        <w:spacing w:after="120"/>
        <w:jc w:val="both"/>
      </w:pPr>
      <w:r>
        <w:rPr>
          <w:rFonts w:ascii="Arial" w:cs="Arial" w:eastAsia="Arial" w:hAnsi="Arial"/>
          <w:sz w:val="24"/>
          <w:szCs w:val="24"/>
        </w:rPr>
        <w:t xml:space="preserve">ОПП со дня прохождения государственной регистрации получает статус,права и обязанности юридического лица, может выступать ответчиком либо истцом на судебном заседании.</w:t>
      </w:r>
    </w:p>
    <w:p>
      <w:pPr>
        <w:spacing w:after="120"/>
        <w:jc w:val="both"/>
      </w:pPr>
      <w:r>
        <w:rPr>
          <w:rFonts w:ascii="Arial" w:cs="Arial" w:eastAsia="Arial" w:hAnsi="Arial"/>
          <w:sz w:val="24"/>
          <w:szCs w:val="24"/>
        </w:rPr>
        <w:t xml:space="preserve">Имеется печать с названием ОПП, штамп на кыргызском и русском языках, расчетный и грантовый банковские счета .</w:t>
      </w:r>
    </w:p>
    <w:p>
      <w:pPr>
        <w:spacing w:after="120"/>
        <w:jc w:val="both"/>
      </w:pPr>
      <w:r>
        <w:rPr>
          <w:rFonts w:ascii="Arial" w:cs="Arial" w:eastAsia="Arial" w:hAnsi="Arial"/>
          <w:sz w:val="24"/>
          <w:szCs w:val="24"/>
        </w:rPr>
        <w:t xml:space="preserve">Юридический адрес ОПП: город Ош, Жапалакский УС, село Керме-Тоо, улица Каримова №1, моб.тел. 0777577720</w:t>
      </w:r>
    </w:p>
    <w:p>
      <w:pPr>
        <w:spacing w:after="120"/>
        <w:jc w:val="both"/>
      </w:pPr>
      <w:r>
        <w:rPr>
          <w:rFonts w:ascii="Arial" w:cs="Arial" w:eastAsia="Arial" w:hAnsi="Arial"/>
          <w:sz w:val="24"/>
          <w:szCs w:val="24"/>
        </w:rPr>
        <w:t xml:space="preserve">Банковские реквизиты БИК (МФО) 129057. Расчетные счета: 1290573230020909, ОКПО 27319557, ИНН0 01802201110271. Рег. Г.Ош “РСК”БАНК.</w:t>
      </w:r>
    </w:p>
    <w:p>
      <w:pPr>
        <w:spacing w:after="120"/>
        <w:jc w:val="both"/>
      </w:pPr>
      <w:r>
        <w:rPr>
          <w:rFonts w:ascii="Arial" w:cs="Arial" w:eastAsia="Arial" w:hAnsi="Arial"/>
          <w:sz w:val="24"/>
          <w:szCs w:val="24"/>
        </w:rPr>
        <w:t xml:space="preserve">Высшим управляющим органом ОПП является общее собрание пастбищепользователей.</w:t>
      </w:r>
    </w:p>
    <w:p>
      <w:pPr>
        <w:spacing w:after="120"/>
        <w:jc w:val="both"/>
      </w:pPr>
      <w:r>
        <w:rPr>
          <w:rFonts w:ascii="Arial" w:cs="Arial" w:eastAsia="Arial" w:hAnsi="Arial"/>
          <w:sz w:val="24"/>
          <w:szCs w:val="24"/>
        </w:rPr>
        <w:t xml:space="preserve">Исполнительный орган ОПП – Пастбищный комитет.</w:t>
      </w:r>
    </w:p>
    <w:p>
      <w:pPr>
        <w:spacing w:after="120"/>
        <w:jc w:val="both"/>
      </w:pPr>
      <w:r>
        <w:rPr>
          <w:rFonts w:ascii="Arial" w:cs="Arial" w:eastAsia="Arial" w:hAnsi="Arial"/>
          <w:sz w:val="24"/>
          <w:szCs w:val="24"/>
        </w:rPr>
        <w:t xml:space="preserve">Ревизионная комиссия ОПП является ревизионно-контролирующим органом.</w:t>
      </w:r>
    </w:p>
    <w:p>
      <w:pPr>
        <w:spacing w:after="120"/>
        <w:jc w:val="both"/>
      </w:pPr>
      <w:r>
        <w:rPr>
          <w:rFonts w:ascii="Arial" w:cs="Arial" w:eastAsia="Arial" w:hAnsi="Arial"/>
          <w:sz w:val="24"/>
          <w:szCs w:val="24"/>
        </w:rPr>
        <w:t xml:space="preserve">Членами ОПП могут выступить – пастбищепользователи Жапалакского УС.</w:t>
      </w:r>
    </w:p>
    <w:p>
      <w:pPr>
        <w:spacing w:after="120"/>
        <w:jc w:val="both"/>
      </w:pPr>
      <w:r>
        <w:rPr>
          <w:rFonts w:ascii="Arial" w:cs="Arial" w:eastAsia="Arial" w:hAnsi="Arial"/>
          <w:sz w:val="24"/>
          <w:szCs w:val="24"/>
        </w:rPr>
        <w:t xml:space="preserve">Председатель ПК: Салиев А.</w:t>
      </w:r>
    </w:p>
    <w:p>
      <w:pPr>
        <w:spacing w:after="120"/>
        <w:jc w:val="both"/>
      </w:pPr>
      <w:r>
        <w:rPr>
          <w:rFonts w:ascii="Arial" w:cs="Arial" w:eastAsia="Arial" w:hAnsi="Arial"/>
          <w:sz w:val="24"/>
          <w:szCs w:val="24"/>
        </w:rPr>
        <w:t xml:space="preserve">Бухгалтер ПК: Ташбаева Ч.</w:t>
      </w:r>
    </w:p>
    <w:p>
      <w:pPr>
        <w:spacing w:after="120"/>
        <w:jc w:val="both"/>
      </w:pPr>
      <w:r>
        <w:rPr>
          <w:rFonts w:ascii="Arial" w:cs="Arial" w:eastAsia="Arial" w:hAnsi="Arial"/>
          <w:sz w:val="24"/>
          <w:szCs w:val="24"/>
        </w:rPr>
        <w:t xml:space="preserve">Состав Пастбищного Комитета Жапалакского ТУС</w:t>
      </w:r>
    </w:p>
    <w:p>
      <w:pPr>
        <w:spacing w:after="120"/>
        <w:jc w:val="both"/>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0"/>
        <w:gridCol w:w="4127"/>
        <w:gridCol w:w="5031"/>
      </w:tblGrid>
      <w:tr>
        <w:tc>
          <w:tcPr>
            <w:tcW w:type="dxa" w:w="10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50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r>
      <w:tr>
        <w:tc>
          <w:tcPr>
            <w:tcW w:type="dxa" w:w="1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Эшманов Санжарбек</w:t>
            </w:r>
          </w:p>
        </w:tc>
        <w:tc>
          <w:tcPr>
            <w:tcW w:type="dxa" w:w="5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Жапалакского ТУС</w:t>
            </w:r>
          </w:p>
        </w:tc>
      </w:tr>
      <w:tr>
        <w:tc>
          <w:tcPr>
            <w:tcW w:type="dxa" w:w="1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Салиев Акылбек</w:t>
            </w:r>
          </w:p>
        </w:tc>
        <w:tc>
          <w:tcPr>
            <w:tcW w:type="dxa" w:w="5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ОПП</w:t>
            </w:r>
          </w:p>
        </w:tc>
      </w:tr>
      <w:tr>
        <w:tc>
          <w:tcPr>
            <w:tcW w:type="dxa" w:w="1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Аттокуров Сайит</w:t>
            </w:r>
          </w:p>
        </w:tc>
        <w:tc>
          <w:tcPr>
            <w:tcW w:type="dxa" w:w="5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Камилов Жаныбек</w:t>
            </w:r>
          </w:p>
        </w:tc>
        <w:tc>
          <w:tcPr>
            <w:tcW w:type="dxa" w:w="5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Акматов Шералы</w:t>
            </w:r>
          </w:p>
        </w:tc>
        <w:tc>
          <w:tcPr>
            <w:tcW w:type="dxa" w:w="5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Кулматов Исраил</w:t>
            </w:r>
          </w:p>
        </w:tc>
        <w:tc>
          <w:tcPr>
            <w:tcW w:type="dxa" w:w="5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Хасанов Алмаз</w:t>
            </w:r>
          </w:p>
        </w:tc>
        <w:tc>
          <w:tcPr>
            <w:tcW w:type="dxa" w:w="5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Таштанов Анарбай</w:t>
            </w:r>
          </w:p>
        </w:tc>
        <w:tc>
          <w:tcPr>
            <w:tcW w:type="dxa" w:w="5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Арзиев Нуралы</w:t>
            </w:r>
          </w:p>
        </w:tc>
        <w:tc>
          <w:tcPr>
            <w:tcW w:type="dxa" w:w="5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Ирисбаев Асыл</w:t>
            </w:r>
          </w:p>
        </w:tc>
        <w:tc>
          <w:tcPr>
            <w:tcW w:type="dxa" w:w="5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Осмонов Сабыр</w:t>
            </w:r>
          </w:p>
        </w:tc>
        <w:tc>
          <w:tcPr>
            <w:tcW w:type="dxa" w:w="5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Айылчиев Нургазы</w:t>
            </w:r>
          </w:p>
        </w:tc>
        <w:tc>
          <w:tcPr>
            <w:tcW w:type="dxa" w:w="5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Омошов Абдилашим</w:t>
            </w:r>
          </w:p>
        </w:tc>
        <w:tc>
          <w:tcPr>
            <w:tcW w:type="dxa" w:w="5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Шерматов Жунусалы</w:t>
            </w:r>
          </w:p>
        </w:tc>
        <w:tc>
          <w:tcPr>
            <w:tcW w:type="dxa" w:w="5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Маматалиева Махбурат</w:t>
            </w:r>
          </w:p>
        </w:tc>
        <w:tc>
          <w:tcPr>
            <w:tcW w:type="dxa" w:w="5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Султанов Рустам</w:t>
            </w:r>
          </w:p>
        </w:tc>
        <w:tc>
          <w:tcPr>
            <w:tcW w:type="dxa" w:w="5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Умузаков Салижан</w:t>
            </w:r>
          </w:p>
        </w:tc>
        <w:tc>
          <w:tcPr>
            <w:tcW w:type="dxa" w:w="5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Ревизионной комисии:</w:t>
      </w:r>
    </w:p>
    <w:p>
      <w:pPr>
        <w:spacing w:after="120"/>
        <w:jc w:val="both"/>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3"/>
        <w:gridCol w:w="4101"/>
        <w:gridCol w:w="5013"/>
      </w:tblGrid>
      <w:tr>
        <w:tc>
          <w:tcPr>
            <w:tcW w:type="dxa" w:w="10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5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Позиция в ОПП</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Маматалиева Махбурат</w:t>
            </w:r>
          </w:p>
        </w:tc>
        <w:tc>
          <w:tcPr>
            <w:tcW w:type="dxa" w:w="5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Сатвалдиев Каримжан</w:t>
            </w:r>
          </w:p>
        </w:tc>
        <w:tc>
          <w:tcPr>
            <w:tcW w:type="dxa" w:w="5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комисии</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Арапова Жыргал</w:t>
            </w:r>
          </w:p>
        </w:tc>
        <w:tc>
          <w:tcPr>
            <w:tcW w:type="dxa" w:w="5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комисии</w:t>
            </w:r>
          </w:p>
        </w:tc>
      </w:tr>
    </w:tbl>
    <w:p>
      <w:pPr>
        <w:spacing w:after="120"/>
        <w:jc w:val="both"/>
      </w:pPr>
      <w:r>
        <w:rPr>
          <w:rFonts w:ascii="Arial" w:cs="Arial" w:eastAsia="Arial" w:hAnsi="Arial"/>
          <w:sz w:val="24"/>
          <w:szCs w:val="24"/>
        </w:rPr>
        <w:t xml:space="preserve">Уточнение списка общего поголовья скота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Список пастбищепользователей, составленный при проведении учета поголовья скота Жапалакского ПК на территории Жапалакского ТУС, представлен в приложении 1.</w:t>
      </w:r>
    </w:p>
    <w:p>
      <w:pPr>
        <w:spacing w:after="120"/>
        <w:jc w:val="both"/>
      </w:pPr>
      <w:r>
        <w:rPr>
          <w:rFonts w:ascii="Arial" w:cs="Arial" w:eastAsia="Arial" w:hAnsi="Arial"/>
          <w:sz w:val="24"/>
          <w:szCs w:val="24"/>
        </w:rPr>
        <w:t xml:space="preserve">     В этот список вошли лишь те, которые выходят на пастбища со своим скотом, т.е. крупные скотовладельцы и фермеры, которые изначально имеют свои кошары на пастбищах. Кроме этого, есть много чабанов, которые пасут скот населения на коммерческой основе, некоторые из них не включены в список в силу разных причин. Соответственно и поголовье скота на пастбищах не полностью было учтено. Поэтому список пастбищепользователей необходимо еще уточнять. Наряду с имеющимся скотом много скота приходит из соседних сел. Местные чабаны берут скот из соседних сел и выпасают на пастбищах Жапалакского ТУС, поголовье которого на сегодняшний день неизвестно.</w:t>
      </w:r>
    </w:p>
    <w:p>
      <w:pPr>
        <w:spacing w:after="120"/>
        <w:jc w:val="both"/>
      </w:pPr>
      <w:r>
        <w:rPr>
          <w:rFonts w:ascii="Arial" w:cs="Arial" w:eastAsia="Arial" w:hAnsi="Arial"/>
          <w:sz w:val="24"/>
          <w:szCs w:val="24"/>
        </w:rPr>
        <w:t xml:space="preserve">В нижеследующей таблице 4 показано поголовье скота, полученное в результате проведенного учета в 2015 г.Жапалакского ПК. Уточненный список пастбищепользователей прилагается к плану (приложение 1).</w:t>
      </w:r>
    </w:p>
    <w:p>
      <w:pPr>
        <w:spacing w:after="120"/>
        <w:jc w:val="both"/>
      </w:pPr>
      <w:r>
        <w:rPr>
          <w:rFonts w:ascii="Arial" w:cs="Arial" w:eastAsia="Arial" w:hAnsi="Arial"/>
          <w:sz w:val="24"/>
          <w:szCs w:val="24"/>
        </w:rPr>
        <w:t xml:space="preserve">Поголовье скота в Жапалакского ТУС</w:t>
      </w:r>
    </w:p>
    <w:p>
      <w:pPr>
        <w:spacing w:after="120"/>
        <w:jc w:val="both"/>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0"/>
        <w:gridCol w:w="2093"/>
        <w:gridCol w:w="1810"/>
        <w:gridCol w:w="1812"/>
        <w:gridCol w:w="1814"/>
      </w:tblGrid>
      <w:tr>
        <w:tc>
          <w:tcPr>
            <w:tcW w:type="dxa" w:w="26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ТУС</w:t>
            </w:r>
          </w:p>
        </w:tc>
        <w:tc>
          <w:tcPr>
            <w:tcW w:type="dxa" w:w="20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КРС</w:t>
            </w:r>
          </w:p>
        </w:tc>
        <w:tc>
          <w:tcPr>
            <w:tcW w:type="dxa" w:w="18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ОВЦЫ и КОЗЫ</w:t>
            </w:r>
          </w:p>
        </w:tc>
        <w:tc>
          <w:tcPr>
            <w:tcW w:type="dxa" w:w="18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ЛОШАДИ</w:t>
            </w:r>
          </w:p>
        </w:tc>
        <w:tc>
          <w:tcPr>
            <w:tcW w:type="dxa" w:w="18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ЯКИ</w:t>
            </w:r>
          </w:p>
        </w:tc>
      </w:tr>
      <w:tr>
        <w:tc>
          <w:tcPr>
            <w:tcW w:type="dxa" w:w="2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20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9005</w:t>
            </w:r>
          </w:p>
        </w:tc>
        <w:tc>
          <w:tcPr>
            <w:tcW w:type="dxa" w:w="18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14214</w:t>
            </w:r>
          </w:p>
        </w:tc>
        <w:tc>
          <w:tcPr>
            <w:tcW w:type="dxa" w:w="18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648</w:t>
            </w:r>
          </w:p>
        </w:tc>
        <w:tc>
          <w:tcPr>
            <w:tcW w:type="dxa" w:w="1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этой связи, до составления годового плана ПК по использованию пастбищ необходимо узнать, хотя бы приблизительно, процент скрытого поголовья скота. Для этого были взяты во внимание мнения пастбищепользователей. Полученная процентная разница будет учитываться при распределении скота в соответствии емкостям пастбищных участков.</w:t>
      </w:r>
    </w:p>
    <w:p>
      <w:pPr>
        <w:spacing w:after="120"/>
        <w:jc w:val="both"/>
      </w:pPr>
      <w:r>
        <w:rPr>
          <w:rFonts w:ascii="Arial" w:cs="Arial" w:eastAsia="Arial" w:hAnsi="Arial"/>
          <w:sz w:val="24"/>
          <w:szCs w:val="24"/>
        </w:rPr>
        <w:t xml:space="preserve">     В следующей таблице показана процентная разница неучтенного поголовья скота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Уточнение общего поголовья скота</w:t>
      </w:r>
    </w:p>
    <w:p>
      <w:pPr>
        <w:spacing w:after="120"/>
        <w:jc w:val="both"/>
      </w:pPr>
      <w:r>
        <w:rPr>
          <w:rFonts w:ascii="Arial" w:cs="Arial" w:eastAsia="Arial" w:hAnsi="Arial"/>
          <w:sz w:val="24"/>
          <w:szCs w:val="24"/>
        </w:rPr>
        <w:t xml:space="preserve"> Таблица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8"/>
        <w:gridCol w:w="2590"/>
        <w:gridCol w:w="2721"/>
        <w:gridCol w:w="2439"/>
      </w:tblGrid>
      <w:tr>
        <w:tc>
          <w:tcPr>
            <w:tcW w:type="dxa" w:w="24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скота</w:t>
            </w:r>
          </w:p>
        </w:tc>
        <w:tc>
          <w:tcPr>
            <w:tcW w:type="dxa" w:w="25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скота, согласно учету ПК</w:t>
            </w:r>
          </w:p>
        </w:tc>
        <w:tc>
          <w:tcPr>
            <w:tcW w:type="dxa" w:w="27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скота, согласно стат. данным</w:t>
            </w:r>
          </w:p>
        </w:tc>
        <w:tc>
          <w:tcPr>
            <w:tcW w:type="dxa" w:w="24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Корова</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8756</w:t>
            </w:r>
          </w:p>
        </w:tc>
        <w:tc>
          <w:tcPr>
            <w:tcW w:type="dxa" w:w="2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w:t>
            </w:r>
          </w:p>
        </w:tc>
        <w:tc>
          <w:tcPr>
            <w:tcW w:type="dxa" w:w="2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+2,7%</w:t>
            </w:r>
          </w:p>
        </w:tc>
      </w:tr>
      <w:tr>
        <w:tc>
          <w:tcPr>
            <w:tcW w:type="dxa" w:w="2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Лошади</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2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w:t>
            </w:r>
          </w:p>
        </w:tc>
        <w:tc>
          <w:tcPr>
            <w:tcW w:type="dxa" w:w="2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2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Яки</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Овцы-козы</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13654</w:t>
            </w:r>
          </w:p>
        </w:tc>
        <w:tc>
          <w:tcPr>
            <w:tcW w:type="dxa" w:w="2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14214</w:t>
            </w:r>
          </w:p>
        </w:tc>
        <w:tc>
          <w:tcPr>
            <w:tcW w:type="dxa" w:w="2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2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Верблюды</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Ослы</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Поголовье скота даже по статистике указывается больше на -3,5%, в сравнении с данными учңта Пастбищного комитета. В 2015 году ПК Жапалакского ТУС произвңл сбор платы за использование пастбищ исходя только из того поголовья, которое состоит на учңте ПК. В связи с чем, много скота выпасалось без оплаты пастбищного билета.</w:t>
      </w:r>
    </w:p>
    <w:p>
      <w:pPr>
        <w:spacing w:after="120"/>
        <w:jc w:val="both"/>
      </w:pPr>
      <w:r>
        <w:rPr>
          <w:rFonts w:ascii="Arial" w:cs="Arial" w:eastAsia="Arial" w:hAnsi="Arial"/>
          <w:sz w:val="24"/>
          <w:szCs w:val="24"/>
        </w:rPr>
        <w:t xml:space="preserve">Следует отметить, что люди не оглашают точный список своего скота из-за низкой осведомлңнности о деятельности ПК. В основном скрывают поголовье крупнорогатого скота и лошадей. А мелко рогатый скот уточняется намного легче, их можно посчитать у каждого чабана, сколько овец и коз по их списку.</w:t>
      </w:r>
    </w:p>
    <w:p>
      <w:pPr>
        <w:spacing w:after="120"/>
        <w:jc w:val="both"/>
      </w:pPr>
      <w:r>
        <w:rPr>
          <w:rFonts w:ascii="Arial" w:cs="Arial" w:eastAsia="Arial" w:hAnsi="Arial"/>
          <w:sz w:val="24"/>
          <w:szCs w:val="24"/>
        </w:rPr>
        <w:t xml:space="preserve">     В свете такого опыта Жапалакского ПК извлңк урок, теперь в 2017 г. он планирует произвести учңт поголовья крупнорогатого скота по каждому двору. Раньше список составлялся только у чабанов, которые берут у людей скот на коммерческой основе и выпасают на пастбищах.</w:t>
      </w:r>
    </w:p>
    <w:p>
      <w:pPr>
        <w:spacing w:after="120"/>
        <w:jc w:val="both"/>
      </w:pPr>
      <w:r>
        <w:rPr>
          <w:rFonts w:ascii="Arial" w:cs="Arial" w:eastAsia="Arial" w:hAnsi="Arial"/>
          <w:sz w:val="24"/>
          <w:szCs w:val="24"/>
        </w:rPr>
        <w:t xml:space="preserve">     Таким, образом, можно существенно приблизить учңтное поголовье к реальному количеству скота. Также ПК при подсчңте стоимости пастбищного билета должен чңтко знать поголовье скота, которое идңт на пастбища соседних сел. Но в Жапалакском ТУС поголовье скота только на территории Жапалакского ТУС. В настоящее время нет пастбище пользователи, которые отказываются от оплаты пастбищного билета ПК. Это они обосновывают тем, что выпасают скот на пастбищах соседних сел. Но не всегда это совпадает с фактическим положением дел. В целях решения этой проблемы необходимо вплотную сотрудничать с ПК соседних УАА и обмениваться информацией, а также заключать соответствующие договора.</w:t>
      </w:r>
    </w:p>
    <w:p>
      <w:pPr>
        <w:spacing w:after="120"/>
        <w:jc w:val="both"/>
      </w:pPr>
      <w:r>
        <w:rPr>
          <w:rFonts w:ascii="Arial" w:cs="Arial" w:eastAsia="Arial" w:hAnsi="Arial"/>
          <w:sz w:val="24"/>
          <w:szCs w:val="24"/>
        </w:rPr>
        <w:t xml:space="preserve">Теперь Жапалакский ПК решил произвести сбор оплаты за использование пастбищ за КРС с МРС каждого скота владельца.</w:t>
      </w:r>
    </w:p>
    <w:p>
      <w:pPr>
        <w:spacing w:after="120"/>
        <w:jc w:val="both"/>
      </w:pPr>
      <w:r>
        <w:rPr>
          <w:rFonts w:ascii="Arial" w:cs="Arial" w:eastAsia="Arial" w:hAnsi="Arial"/>
          <w:sz w:val="24"/>
          <w:szCs w:val="24"/>
        </w:rPr>
        <w:t xml:space="preserve">     Исходя из таблицы 5, люди скрывают приблизительно 3.5 % поголовья скота и не платят за его выпас на пастбищах. Этот процентный показатель нам поможет при составлении плана использования пастбищ, т.е. мы должны добавить этот процент к списку представленного поголовья скота, который имеется у ПК. Главная цель этой комбинации является правильное определение нагрузки на пастбища.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Перевод количества различных видов животных в "условное поголовье"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Условная голова – это условный коэффициент пересчета различных видов скота в одну условную единицу. Для перевода в условную голову (УГ) используется коэффициенты утвержденные постановлением №386 Правительства Кыргызской Республики от 2009 года.</w:t>
      </w:r>
    </w:p>
    <w:p>
      <w:pPr>
        <w:spacing w:after="120"/>
        <w:jc w:val="both"/>
      </w:pPr>
      <w:r>
        <w:rPr>
          <w:rFonts w:ascii="Arial" w:cs="Arial" w:eastAsia="Arial" w:hAnsi="Arial"/>
          <w:sz w:val="24"/>
          <w:szCs w:val="24"/>
        </w:rPr>
        <w:t xml:space="preserve">     Также условную голову можно посчитать согласно живому весу скота. В таком расчете коэффиценты различных видов скота подсчитываются относительно весу одной коровы. Поэтому живой вес каждого вида скота делится на средний живой вес коровы в условиях Кыргызстана. Например, по Кыргызстану средний вес одной коровы составляет 300 кг. Таким образом мы можем вычислить коэффициенты перевода в УГ для каждого вида скота, как показано в нижеследующей таблице.</w:t>
      </w:r>
    </w:p>
    <w:p>
      <w:pPr>
        <w:spacing w:after="120"/>
        <w:jc w:val="both"/>
      </w:pPr>
      <w:r>
        <w:rPr>
          <w:rFonts w:ascii="Arial" w:cs="Arial" w:eastAsia="Arial" w:hAnsi="Arial"/>
          <w:sz w:val="24"/>
          <w:szCs w:val="24"/>
        </w:rPr>
        <w:t xml:space="preserve">Расчет коэффициента перевода в УГ</w:t>
      </w:r>
    </w:p>
    <w:p>
      <w:pPr>
        <w:spacing w:after="120"/>
        <w:jc w:val="both"/>
      </w:pPr>
      <w:r>
        <w:rPr>
          <w:rFonts w:ascii="Arial" w:cs="Arial" w:eastAsia="Arial" w:hAnsi="Arial"/>
          <w:sz w:val="24"/>
          <w:szCs w:val="24"/>
        </w:rPr>
        <w:t xml:space="preserve">согласно живого веса скота</w:t>
      </w:r>
    </w:p>
    <w:p>
      <w:pPr>
        <w:spacing w:after="120"/>
        <w:jc w:val="both"/>
      </w:pPr>
      <w:r>
        <w:rPr>
          <w:rFonts w:ascii="Arial" w:cs="Arial" w:eastAsia="Arial" w:hAnsi="Arial"/>
          <w:sz w:val="24"/>
          <w:szCs w:val="24"/>
        </w:rPr>
        <w:t xml:space="preserve">Таблица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7"/>
        <w:gridCol w:w="1688"/>
        <w:gridCol w:w="1493"/>
        <w:gridCol w:w="3750"/>
      </w:tblGrid>
      <w:tr>
        <w:tc>
          <w:tcPr>
            <w:tcW w:type="dxa" w:w="32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скота</w:t>
            </w:r>
          </w:p>
        </w:tc>
        <w:tc>
          <w:tcPr>
            <w:tcW w:type="dxa" w:w="16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14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w:t>
            </w:r>
          </w:p>
        </w:tc>
        <w:tc>
          <w:tcPr>
            <w:tcW w:type="dxa" w:w="37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перевода в УГ</w:t>
            </w:r>
          </w:p>
        </w:tc>
      </w:tr>
      <w:tr>
        <w:tc>
          <w:tcPr>
            <w:tcW w:type="dxa" w:w="32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Коровы КРС</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300/300</w:t>
            </w:r>
          </w:p>
        </w:tc>
        <w:tc>
          <w:tcPr>
            <w:tcW w:type="dxa" w:w="3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 КРС</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200/300</w:t>
            </w:r>
          </w:p>
        </w:tc>
        <w:tc>
          <w:tcPr>
            <w:tcW w:type="dxa" w:w="3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32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Быки</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360/300</w:t>
            </w:r>
          </w:p>
        </w:tc>
        <w:tc>
          <w:tcPr>
            <w:tcW w:type="dxa" w:w="3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Овцы/козы</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60/300</w:t>
            </w:r>
          </w:p>
        </w:tc>
        <w:tc>
          <w:tcPr>
            <w:tcW w:type="dxa" w:w="3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32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Лошади</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360/300</w:t>
            </w:r>
          </w:p>
        </w:tc>
        <w:tc>
          <w:tcPr>
            <w:tcW w:type="dxa" w:w="3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Верблюд</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2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Яки</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Жапалакском УС поголовье скота переведено в УГ с использованием коэффицинтов перевода, указанным в поставновлении. Лишь лошади переводят в УГ коэффициентом 1,2. До сегодняшнего дня ПК проводил подсчңт лошадей в УГ этим коэффициентом, и на этот год оставили этот коэффициент.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Коэффициенты перевода в Условную голову (УГ):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Крупно рогатый скот, большие -1</w:t>
      </w:r>
    </w:p>
    <w:p>
      <w:pPr>
        <w:spacing w:after="120"/>
        <w:jc w:val="both"/>
      </w:pPr>
      <w:r>
        <w:rPr>
          <w:rFonts w:ascii="Arial" w:cs="Arial" w:eastAsia="Arial" w:hAnsi="Arial"/>
          <w:sz w:val="24"/>
          <w:szCs w:val="24"/>
        </w:rPr>
        <w:t xml:space="preserve">Крупно рогатый скот, молодняки - 0,7</w:t>
      </w:r>
    </w:p>
    <w:p>
      <w:pPr>
        <w:spacing w:after="120"/>
        <w:jc w:val="both"/>
      </w:pPr>
      <w:r>
        <w:rPr>
          <w:rFonts w:ascii="Arial" w:cs="Arial" w:eastAsia="Arial" w:hAnsi="Arial"/>
          <w:sz w:val="24"/>
          <w:szCs w:val="24"/>
        </w:rPr>
        <w:t xml:space="preserve">Овцы/козы – 0,2</w:t>
      </w:r>
    </w:p>
    <w:p>
      <w:pPr>
        <w:spacing w:after="120"/>
        <w:jc w:val="both"/>
      </w:pPr>
      <w:r>
        <w:rPr>
          <w:rFonts w:ascii="Arial" w:cs="Arial" w:eastAsia="Arial" w:hAnsi="Arial"/>
          <w:sz w:val="24"/>
          <w:szCs w:val="24"/>
        </w:rPr>
        <w:t xml:space="preserve">Лошади/ослы – 1</w:t>
      </w:r>
    </w:p>
    <w:p>
      <w:pPr>
        <w:spacing w:after="120"/>
        <w:jc w:val="both"/>
      </w:pPr>
      <w:r>
        <w:rPr>
          <w:rFonts w:ascii="Arial" w:cs="Arial" w:eastAsia="Arial" w:hAnsi="Arial"/>
          <w:sz w:val="24"/>
          <w:szCs w:val="24"/>
        </w:rPr>
        <w:t xml:space="preserve">Верблюды– 1</w:t>
      </w:r>
    </w:p>
    <w:p>
      <w:pPr>
        <w:spacing w:after="120"/>
        <w:jc w:val="both"/>
      </w:pPr>
      <w:r>
        <w:rPr>
          <w:rFonts w:ascii="Arial" w:cs="Arial" w:eastAsia="Arial" w:hAnsi="Arial"/>
          <w:sz w:val="24"/>
          <w:szCs w:val="24"/>
        </w:rPr>
        <w:t xml:space="preserve">Перевод поголовье скота в условную голову (УГ)</w:t>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6"/>
        <w:gridCol w:w="2233"/>
        <w:gridCol w:w="2194"/>
        <w:gridCol w:w="2735"/>
      </w:tblGrid>
      <w:tr>
        <w:tc>
          <w:tcPr>
            <w:tcW w:type="dxa" w:w="30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скота</w:t>
            </w:r>
          </w:p>
        </w:tc>
        <w:tc>
          <w:tcPr>
            <w:tcW w:type="dxa" w:w="22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скота</w:t>
            </w:r>
          </w:p>
        </w:tc>
        <w:tc>
          <w:tcPr>
            <w:tcW w:type="dxa" w:w="21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перевода в УГ</w:t>
            </w:r>
          </w:p>
        </w:tc>
        <w:tc>
          <w:tcPr>
            <w:tcW w:type="dxa" w:w="27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w:t>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КРС. в.т.ч. коров</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6390</w:t>
            </w:r>
          </w:p>
        </w:tc>
        <w:tc>
          <w:tcPr>
            <w:tcW w:type="dxa" w:w="21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6390</w:t>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КРС. в.т.ч. молодняк</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w:t>
            </w:r>
          </w:p>
        </w:tc>
        <w:tc>
          <w:tcPr>
            <w:tcW w:type="dxa" w:w="21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2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1830</w:t>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Лошади</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w:t>
            </w:r>
          </w:p>
        </w:tc>
        <w:tc>
          <w:tcPr>
            <w:tcW w:type="dxa" w:w="21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648</w:t>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Овцы/козы</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14214</w:t>
            </w:r>
          </w:p>
        </w:tc>
        <w:tc>
          <w:tcPr>
            <w:tcW w:type="dxa" w:w="21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2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2842</w:t>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Яки</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2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11710</w:t>
            </w:r>
          </w:p>
        </w:tc>
      </w:tr>
    </w:tbl>
    <w:p>
      <w:pPr>
        <w:spacing w:after="120"/>
        <w:jc w:val="both"/>
      </w:pPr>
      <w:r>
        <w:rPr>
          <w:rFonts w:ascii="Arial" w:cs="Arial" w:eastAsia="Arial" w:hAnsi="Arial"/>
          <w:sz w:val="24"/>
          <w:szCs w:val="24"/>
        </w:rPr>
        <w:t xml:space="preserve">     Пастбищный комитет производит учңт поголовья скота в начале года, но люди в течение года покупают или продают скота, таким образом, наблюдается изменение в поголовье.</w:t>
      </w:r>
    </w:p>
    <w:p>
      <w:pPr>
        <w:spacing w:after="120"/>
        <w:jc w:val="both"/>
      </w:pPr>
      <w:r>
        <w:rPr>
          <w:rFonts w:ascii="Arial" w:cs="Arial" w:eastAsia="Arial" w:hAnsi="Arial"/>
          <w:sz w:val="24"/>
          <w:szCs w:val="24"/>
        </w:rPr>
        <w:t xml:space="preserve">Как указано в таблице 5, поголовье скота на 19 % было больше. Используя, этот процент мы умножаем количество скота, которое есть в списке ПК, для его уточнения. Таким образом, мы точнее определили, что в Жапалакском УС имеется 5003 УГ скота.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Кормопроизводство на уровне ТУ</w:t>
      </w:r>
      <w:r>
        <w:rPr>
          <w:rFonts w:ascii="Arial" w:cs="Arial" w:eastAsia="Arial" w:hAnsi="Arial"/>
          <w:sz w:val="24"/>
          <w:szCs w:val="24"/>
        </w:rPr>
        <w:t xml:space="preserve">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условии Кыргызстана мы используем следующие показатели продуктивности кормовых культур.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Средняя урожайность кормовых культур</w:t>
      </w:r>
    </w:p>
    <w:p>
      <w:pPr>
        <w:spacing w:after="120"/>
        <w:jc w:val="both"/>
      </w:pPr>
      <w:r>
        <w:rPr>
          <w:rFonts w:ascii="Arial" w:cs="Arial" w:eastAsia="Arial" w:hAnsi="Arial"/>
          <w:sz w:val="24"/>
          <w:szCs w:val="24"/>
        </w:rPr>
        <w:t xml:space="preserve"> Таблица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корма</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Урожайность (сухая масса) т/га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Естественный сенокос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Эспарцет, люцерна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Солома ячменя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Солома пшеницы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Солома кукурузы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Овңс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Суточное потребление корма зависит от веса животного, возраста, физиологического состояния и составляет от 2,5 до 4% от живого веса.</w:t>
      </w:r>
    </w:p>
    <w:p>
      <w:pPr>
        <w:spacing w:after="120"/>
        <w:jc w:val="both"/>
      </w:pPr>
      <w:r>
        <w:rPr>
          <w:rFonts w:ascii="Arial" w:cs="Arial" w:eastAsia="Arial" w:hAnsi="Arial"/>
          <w:sz w:val="24"/>
          <w:szCs w:val="24"/>
        </w:rPr>
        <w:t xml:space="preserve">     Взрослые жвачные животные в сутки потребляют сухого вещества в среднем примерно 2,5 % от общей живой массы. Если живой вес одной коровы составляет 300 кг, 2,5% веса будет 7,5кг сухого вещества (300*2,5%=7,5 кг).</w:t>
      </w:r>
    </w:p>
    <w:p>
      <w:pPr>
        <w:spacing w:after="120"/>
        <w:jc w:val="both"/>
      </w:pPr>
      <w:r>
        <w:rPr>
          <w:rFonts w:ascii="Arial" w:cs="Arial" w:eastAsia="Arial" w:hAnsi="Arial"/>
          <w:sz w:val="24"/>
          <w:szCs w:val="24"/>
        </w:rPr>
        <w:t xml:space="preserve">     Зная количество потребляемого сухого вещества можно подсчитать, сколько корма понадобится для обеспечения поголовье скота на уровне Жапалакского ТУС.</w:t>
      </w:r>
    </w:p>
    <w:p>
      <w:pPr>
        <w:spacing w:after="120"/>
        <w:jc w:val="both"/>
      </w:pPr>
      <w:r>
        <w:rPr>
          <w:rFonts w:ascii="Arial" w:cs="Arial" w:eastAsia="Arial" w:hAnsi="Arial"/>
          <w:sz w:val="24"/>
          <w:szCs w:val="24"/>
        </w:rPr>
        <w:t xml:space="preserve">Расчет текущего кормопроизводства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Заготовка кормов</w:t>
      </w:r>
    </w:p>
    <w:p>
      <w:pPr>
        <w:spacing w:after="120"/>
        <w:jc w:val="both"/>
      </w:pPr>
      <w:r>
        <w:rPr>
          <w:rFonts w:ascii="Arial" w:cs="Arial" w:eastAsia="Arial" w:hAnsi="Arial"/>
          <w:sz w:val="24"/>
          <w:szCs w:val="24"/>
        </w:rPr>
        <w:t xml:space="preserve">Таблица 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9"/>
        <w:gridCol w:w="1158"/>
        <w:gridCol w:w="1063"/>
        <w:gridCol w:w="1254"/>
        <w:gridCol w:w="2026"/>
        <w:gridCol w:w="2128"/>
      </w:tblGrid>
      <w:tr>
        <w:tc>
          <w:tcPr>
            <w:tcW w:type="dxa" w:w="25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корма</w:t>
            </w:r>
          </w:p>
        </w:tc>
        <w:tc>
          <w:tcPr>
            <w:tcW w:type="dxa" w:w="11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Урожай</w:t>
            </w:r>
          </w:p>
          <w:p>
            <w:pPr>
              <w:jc w:val="left"/>
            </w:pPr>
            <w:r>
              <w:rPr>
                <w:rFonts w:ascii="Arial" w:cs="Arial" w:eastAsia="Arial" w:hAnsi="Arial"/>
                <w:sz w:val="24"/>
                <w:szCs w:val="24"/>
              </w:rPr>
              <w:t xml:space="preserve">(сухой вес)</w:t>
            </w:r>
          </w:p>
          <w:p>
            <w:pPr>
              <w:jc w:val="left"/>
            </w:pPr>
            <w:r>
              <w:rPr>
                <w:rFonts w:ascii="Arial" w:cs="Arial" w:eastAsia="Arial" w:hAnsi="Arial"/>
                <w:sz w:val="24"/>
                <w:szCs w:val="24"/>
              </w:rPr>
              <w:t xml:space="preserve">кг/га</w:t>
            </w:r>
          </w:p>
        </w:tc>
        <w:tc>
          <w:tcPr>
            <w:tcW w:type="dxa" w:w="10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пашни,</w:t>
            </w:r>
          </w:p>
          <w:p>
            <w:pPr>
              <w:jc w:val="left"/>
            </w:pPr>
            <w:r>
              <w:rPr>
                <w:rFonts w:ascii="Arial" w:cs="Arial" w:eastAsia="Arial" w:hAnsi="Arial"/>
                <w:sz w:val="24"/>
                <w:szCs w:val="24"/>
              </w:rPr>
              <w:t xml:space="preserve">га</w:t>
            </w:r>
          </w:p>
        </w:tc>
        <w:tc>
          <w:tcPr>
            <w:tcW w:type="dxa" w:w="12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урожай-ность,кг.</w:t>
            </w:r>
          </w:p>
        </w:tc>
        <w:tc>
          <w:tcPr>
            <w:tcW w:type="dxa" w:w="2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Ежедневная потребность в кормах (сухое вещество),</w:t>
            </w:r>
          </w:p>
          <w:p>
            <w:pPr>
              <w:jc w:val="left"/>
            </w:pPr>
            <w:r>
              <w:rPr>
                <w:rFonts w:ascii="Arial" w:cs="Arial" w:eastAsia="Arial" w:hAnsi="Arial"/>
                <w:sz w:val="24"/>
                <w:szCs w:val="24"/>
              </w:rPr>
              <w:t xml:space="preserve">Кг./УГ</w:t>
            </w:r>
          </w:p>
        </w:tc>
        <w:tc>
          <w:tcPr>
            <w:tcW w:type="dxa" w:w="21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дней, в течение которых можно прокормить 1 УГ, День </w:t>
            </w:r>
          </w:p>
        </w:tc>
      </w:tr>
      <w:tr>
        <w:tc>
          <w:tcPr>
            <w:tcW w:type="dxa" w:w="2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Многолетние травы (Эспарцет, Люцерна)</w:t>
            </w:r>
          </w:p>
        </w:tc>
        <w:tc>
          <w:tcPr>
            <w:tcW w:type="dxa" w:w="11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10000</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2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2400000</w:t>
            </w:r>
          </w:p>
        </w:tc>
        <w:tc>
          <w:tcPr>
            <w:tcW w:type="dxa" w:w="202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7.5</w:t>
            </w:r>
          </w:p>
        </w:tc>
        <w:tc>
          <w:tcPr>
            <w:tcW w:type="dxa" w:w="21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320000</w:t>
            </w:r>
          </w:p>
        </w:tc>
      </w:tr>
      <w:tr>
        <w:tc>
          <w:tcPr>
            <w:tcW w:type="dxa" w:w="2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Солома пшеницы</w:t>
            </w:r>
          </w:p>
        </w:tc>
        <w:tc>
          <w:tcPr>
            <w:tcW w:type="dxa" w:w="11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12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460000</w:t>
            </w:r>
          </w:p>
        </w:tc>
        <w:tc>
          <w:tcPr>
            <w:vMerge w:val="continue"/>
            <w:tcBorders>
              <w:top w:val="none" w:color="auto" w:sz="0"/>
              <w:left w:val="none" w:color="auto" w:sz="0"/>
              <w:bottom w:val="single" w:color="CBBF9E" w:sz="4"/>
              <w:right w:val="single" w:color="CBBF9E" w:sz="4"/>
            </w:tcBorders>
          </w:tcPr>
          <w:p/>
        </w:tc>
        <w:tc>
          <w:tcPr>
            <w:tcW w:type="dxa" w:w="21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61333</w:t>
            </w:r>
          </w:p>
        </w:tc>
      </w:tr>
      <w:tr>
        <w:tc>
          <w:tcPr>
            <w:tcW w:type="dxa" w:w="2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Солома кукуруза</w:t>
            </w:r>
          </w:p>
        </w:tc>
        <w:tc>
          <w:tcPr>
            <w:tcW w:type="dxa" w:w="11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2500</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w:t>
            </w:r>
          </w:p>
        </w:tc>
        <w:tc>
          <w:tcPr>
            <w:tcW w:type="dxa" w:w="12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2000000</w:t>
            </w:r>
          </w:p>
        </w:tc>
        <w:tc>
          <w:tcPr>
            <w:vMerge w:val="continue"/>
            <w:tcBorders>
              <w:top w:val="none" w:color="auto" w:sz="0"/>
              <w:left w:val="none" w:color="auto" w:sz="0"/>
              <w:bottom w:val="single" w:color="CBBF9E" w:sz="4"/>
              <w:right w:val="single" w:color="CBBF9E" w:sz="4"/>
            </w:tcBorders>
          </w:tcPr>
          <w:p/>
        </w:tc>
        <w:tc>
          <w:tcPr>
            <w:tcW w:type="dxa" w:w="21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266666</w:t>
            </w:r>
          </w:p>
        </w:tc>
      </w:tr>
      <w:tr>
        <w:tc>
          <w:tcPr>
            <w:tcW w:type="dxa" w:w="2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Естественный сенокос</w:t>
            </w:r>
          </w:p>
        </w:tc>
        <w:tc>
          <w:tcPr>
            <w:tcW w:type="dxa" w:w="11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2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5000</w:t>
            </w:r>
          </w:p>
        </w:tc>
        <w:tc>
          <w:tcPr>
            <w:vMerge w:val="continue"/>
            <w:tcBorders>
              <w:top w:val="none" w:color="auto" w:sz="0"/>
              <w:left w:val="none" w:color="auto" w:sz="0"/>
              <w:bottom w:val="single" w:color="CBBF9E" w:sz="4"/>
              <w:right w:val="single" w:color="CBBF9E" w:sz="4"/>
            </w:tcBorders>
          </w:tcPr>
          <w:p/>
        </w:tc>
        <w:tc>
          <w:tcPr>
            <w:tcW w:type="dxa" w:w="21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666</w:t>
            </w:r>
          </w:p>
        </w:tc>
      </w:tr>
      <w:tr>
        <w:tc>
          <w:tcPr>
            <w:tcW w:type="dxa" w:w="602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дней</w:t>
            </w:r>
          </w:p>
        </w:tc>
        <w:tc>
          <w:tcPr>
            <w:vMerge w:val="continue"/>
            <w:tcBorders>
              <w:top w:val="none" w:color="auto" w:sz="0"/>
              <w:left w:val="none" w:color="auto" w:sz="0"/>
              <w:bottom w:val="single" w:color="CBBF9E" w:sz="4"/>
              <w:right w:val="single" w:color="CBBF9E" w:sz="4"/>
            </w:tcBorders>
          </w:tcPr>
          <w:p/>
        </w:tc>
        <w:tc>
          <w:tcPr>
            <w:tcW w:type="dxa" w:w="21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648665</w:t>
            </w:r>
          </w:p>
        </w:tc>
      </w:tr>
      <w:tr>
        <w:tc>
          <w:tcPr>
            <w:tcW w:type="dxa" w:w="602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 корма. 4865000</w:t>
            </w:r>
          </w:p>
        </w:tc>
        <w:tc>
          <w:tcPr>
            <w:tcW w:type="dxa" w:w="41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Концентратные корма которое переведенный на грубый корма по перерасчету 1 кг концентратный 2 грубый корма расчетный на таблице</w:t>
      </w:r>
    </w:p>
    <w:p>
      <w:pPr>
        <w:spacing w:after="120"/>
        <w:jc w:val="both"/>
      </w:pPr>
      <w:r>
        <w:rPr>
          <w:rFonts w:ascii="Arial" w:cs="Arial" w:eastAsia="Arial" w:hAnsi="Arial"/>
          <w:sz w:val="24"/>
          <w:szCs w:val="24"/>
        </w:rPr>
        <w:t xml:space="preserve">Таблица 9 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5"/>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концентратный корма</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Урожайность кг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воздейств</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перевода на кормовой единицах</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х В</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перевод на люцерна</w:t>
            </w:r>
          </w:p>
        </w:tc>
        <w:tc>
          <w:tcPr>
            <w:tcW w:type="dxa" w:w="14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люцерна Г х Д</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Кукуруза на зерно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4912000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6385600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3192800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251850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251850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125925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Жмых хлопчатника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3295725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таблице 7 общее поголовье скота в Жаплакского ТУС составило 11710 УГ. Весь объем заготавливаемого корма хватает для того, что бы прокормить 5003 УГ в течение 247 дней. Но стойловое содержание в зимний период не продолжается до 155 дней, фактически оно короче на 15-20-дней. Но все же проблема остаңтся, для решения нужно принимать соответствующие действия, для этого необходимо сделать следующие мероприятия:</w:t>
      </w:r>
    </w:p>
    <w:p>
      <w:pPr>
        <w:spacing w:after="120"/>
        <w:jc w:val="both"/>
      </w:pPr>
      <w:r>
        <w:rPr>
          <w:rFonts w:ascii="Arial" w:cs="Arial" w:eastAsia="Arial" w:hAnsi="Arial"/>
          <w:sz w:val="24"/>
          <w:szCs w:val="24"/>
        </w:rPr>
        <w:t xml:space="preserve">Пути решения:</w:t>
      </w:r>
    </w:p>
    <w:p>
      <w:pPr>
        <w:spacing w:after="120"/>
        <w:jc w:val="both"/>
      </w:pPr>
      <w:r>
        <w:rPr>
          <w:rFonts w:ascii="Arial" w:cs="Arial" w:eastAsia="Arial" w:hAnsi="Arial"/>
          <w:sz w:val="24"/>
          <w:szCs w:val="24"/>
        </w:rPr>
        <w:t xml:space="preserve">Для повышения урожая зимних кормов необходимо организовать полив сенокосных угодий и необходимо внесение органических удобрений (навоз и пр.).</w:t>
      </w:r>
    </w:p>
    <w:p>
      <w:pPr>
        <w:spacing w:after="120"/>
        <w:jc w:val="both"/>
      </w:pPr>
      <w:r>
        <w:rPr>
          <w:rFonts w:ascii="Arial" w:cs="Arial" w:eastAsia="Arial" w:hAnsi="Arial"/>
          <w:sz w:val="24"/>
          <w:szCs w:val="24"/>
        </w:rPr>
        <w:t xml:space="preserve">Продолжить практику покупки недостающего объңма зимних кормов:</w:t>
      </w:r>
    </w:p>
    <w:p>
      <w:pPr>
        <w:spacing w:after="120"/>
        <w:jc w:val="both"/>
      </w:pPr>
      <w:r>
        <w:rPr>
          <w:rFonts w:ascii="Arial" w:cs="Arial" w:eastAsia="Arial" w:hAnsi="Arial"/>
          <w:sz w:val="24"/>
          <w:szCs w:val="24"/>
        </w:rPr>
        <w:t xml:space="preserve">Большинство населения покупают корм из Узгенского и Сузакского р-нов Жалал-Абадской области</w:t>
      </w:r>
    </w:p>
    <w:p>
      <w:pPr>
        <w:spacing w:after="120"/>
        <w:jc w:val="both"/>
      </w:pPr>
      <w:r>
        <w:rPr>
          <w:rFonts w:ascii="Arial" w:cs="Arial" w:eastAsia="Arial" w:hAnsi="Arial"/>
          <w:sz w:val="24"/>
          <w:szCs w:val="24"/>
        </w:rPr>
        <w:t xml:space="preserve"> В советское время площадь сенокосов была большая, после развала многие фермеры взяли их под освоение и успели приватизировать. На этих участках организовывают абрикосовые сады, а корм покупают за счңт вырученных денег от абрикосовых садов в Узгенском районе и из Сузакского района Жалал-Абадской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 продуктивности и емкости пастбищ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территории отобранных участков для определения продуктивности пастбищ ПК скосил травянистую поверхность на 1 мкв. После чего, представители пастбищного комитета разделили зелңную массу на две части, поедаемую и недоедаемую.</w:t>
      </w:r>
    </w:p>
    <w:p>
      <w:pPr>
        <w:spacing w:after="120"/>
        <w:jc w:val="both"/>
      </w:pPr>
      <w:r>
        <w:rPr>
          <w:rFonts w:ascii="Arial" w:cs="Arial" w:eastAsia="Arial" w:hAnsi="Arial"/>
          <w:sz w:val="24"/>
          <w:szCs w:val="24"/>
        </w:rPr>
        <w:t xml:space="preserve">Взвесив каждую часть, определили массу и записали данные на специально подготовленном информационном листе для мониторинга.</w:t>
      </w:r>
    </w:p>
    <w:p>
      <w:pPr>
        <w:spacing w:after="120"/>
        <w:jc w:val="both"/>
      </w:pPr>
      <w:r>
        <w:rPr>
          <w:rFonts w:ascii="Arial" w:cs="Arial" w:eastAsia="Arial" w:hAnsi="Arial"/>
          <w:sz w:val="24"/>
          <w:szCs w:val="24"/>
        </w:rPr>
        <w:t xml:space="preserve">На очередном обучающем семинаре по разработке плана управления пастбищами сотрудники ОФ САМР Алатоо обучили ПК и пастбище пользователей методу расчңта ңмкости пастбищ использованием данных мониторинга пастбищ, проведңнного в летнее время (табл. 10).</w:t>
      </w:r>
    </w:p>
    <w:p>
      <w:pPr>
        <w:spacing w:after="120"/>
        <w:jc w:val="both"/>
      </w:pPr>
      <w:r>
        <w:rPr>
          <w:rFonts w:ascii="Arial" w:cs="Arial" w:eastAsia="Arial" w:hAnsi="Arial"/>
          <w:sz w:val="24"/>
          <w:szCs w:val="24"/>
        </w:rPr>
        <w:t xml:space="preserve">Определение емкости пастбищных участков</w:t>
      </w:r>
    </w:p>
    <w:p>
      <w:pPr>
        <w:spacing w:after="120"/>
        <w:jc w:val="both"/>
      </w:pPr>
      <w:r>
        <w:rPr>
          <w:rFonts w:ascii="Arial" w:cs="Arial" w:eastAsia="Arial" w:hAnsi="Arial"/>
          <w:sz w:val="24"/>
          <w:szCs w:val="24"/>
        </w:rPr>
        <w:t xml:space="preserve"> Таблица 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8"/>
        <w:gridCol w:w="1238"/>
        <w:gridCol w:w="1084"/>
        <w:gridCol w:w="1084"/>
        <w:gridCol w:w="1393"/>
        <w:gridCol w:w="1238"/>
        <w:gridCol w:w="1238"/>
        <w:gridCol w:w="1355"/>
      </w:tblGrid>
      <w:tr>
        <w:tc>
          <w:tcPr>
            <w:tcW w:type="dxa" w:w="15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Название пастбищного участка</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пастбищ, га</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Урожайность СВ(суховещества кг/га)</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урожайность СВ (кг)</w:t>
            </w:r>
          </w:p>
          <w:p>
            <w:pPr>
              <w:jc w:val="left"/>
            </w:pPr>
            <w:r>
              <w:rPr>
                <w:rFonts w:ascii="Arial" w:cs="Arial" w:eastAsia="Arial" w:hAnsi="Arial"/>
                <w:sz w:val="24"/>
                <w:szCs w:val="24"/>
              </w:rPr>
              <w:t xml:space="preserve">(2 х 3)</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стравлива-ния, 60% (4 х 0,6)</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УГ (5/7,5 кг)</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Потребность 1 УГ в день, 7,5кг</w:t>
            </w:r>
          </w:p>
        </w:tc>
        <w:tc>
          <w:tcPr>
            <w:tcW w:type="dxa" w:w="13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Ңмкость пастбищ, УГ</w:t>
            </w:r>
          </w:p>
        </w:tc>
      </w:tr>
      <w:tr>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3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8</w:t>
            </w:r>
          </w:p>
        </w:tc>
      </w:tr>
      <w:tr>
        <w:tc>
          <w:tcPr>
            <w:tcW w:type="dxa" w:w="10178"/>
            <w:gridSpan w:val="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Весна</w:t>
            </w:r>
          </w:p>
        </w:tc>
      </w:tr>
      <w:tr>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198400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119040</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15872</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3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288</w:t>
            </w:r>
          </w:p>
        </w:tc>
      </w:tr>
      <w:tr>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Озгур</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44160</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5888</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3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107</w:t>
            </w:r>
          </w:p>
        </w:tc>
      </w:tr>
      <w:tr>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лета</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Берки-Суу</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1521</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1414530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848718</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113162</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3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943</w:t>
            </w:r>
          </w:p>
        </w:tc>
      </w:tr>
      <w:tr>
        <w:tc>
          <w:tcPr>
            <w:tcW w:type="dxa" w:w="758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5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Тогуз-Булак</w:t>
            </w:r>
          </w:p>
        </w:tc>
        <w:tc>
          <w:tcPr>
            <w:tcW w:type="dxa" w:w="12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760</w:t>
            </w:r>
          </w:p>
        </w:tc>
        <w:tc>
          <w:tcPr>
            <w:tcW w:type="dxa" w:w="1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930</w:t>
            </w:r>
          </w:p>
        </w:tc>
        <w:tc>
          <w:tcPr>
            <w:tcW w:type="dxa" w:w="10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706800</w:t>
            </w:r>
          </w:p>
        </w:tc>
        <w:tc>
          <w:tcPr>
            <w:tcW w:type="dxa" w:w="1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424080</w:t>
            </w:r>
          </w:p>
        </w:tc>
        <w:tc>
          <w:tcPr>
            <w:tcW w:type="dxa" w:w="12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56544</w:t>
            </w:r>
          </w:p>
        </w:tc>
        <w:tc>
          <w:tcPr>
            <w:tcW w:type="dxa" w:w="12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13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471</w:t>
            </w:r>
          </w:p>
        </w:tc>
      </w:tr>
    </w:tbl>
    <w:p>
      <w:pPr>
        <w:spacing w:after="120"/>
        <w:jc w:val="both"/>
      </w:pPr>
      <w:r>
        <w:rPr>
          <w:rFonts w:ascii="Arial" w:cs="Arial" w:eastAsia="Arial" w:hAnsi="Arial"/>
          <w:sz w:val="24"/>
          <w:szCs w:val="24"/>
        </w:rPr>
        <w:t xml:space="preserve">     Емкость пастбищ определяется по специальной формуле:</w:t>
      </w:r>
    </w:p>
    <w:p>
      <w:pPr>
        <w:spacing w:after="120"/>
        <w:jc w:val="both"/>
      </w:pPr>
      <w:r>
        <w:rPr>
          <w:rFonts w:ascii="Arial" w:cs="Arial" w:eastAsia="Arial" w:hAnsi="Arial"/>
          <w:sz w:val="24"/>
          <w:szCs w:val="24"/>
        </w:rPr>
        <w:t xml:space="preserve">При этом учитывается:</w:t>
      </w:r>
    </w:p>
    <w:p>
      <w:pPr>
        <w:spacing w:after="120"/>
        <w:jc w:val="both"/>
      </w:pPr>
      <w:r>
        <w:rPr>
          <w:rFonts w:ascii="Arial" w:cs="Arial" w:eastAsia="Arial" w:hAnsi="Arial"/>
          <w:sz w:val="24"/>
          <w:szCs w:val="24"/>
        </w:rPr>
        <w:t xml:space="preserve">Б – масса поедаемой части зелңной массы</w:t>
      </w:r>
    </w:p>
    <w:p>
      <w:pPr>
        <w:spacing w:after="120"/>
        <w:jc w:val="both"/>
      </w:pPr>
      <w:r>
        <w:rPr>
          <w:rFonts w:ascii="Arial" w:cs="Arial" w:eastAsia="Arial" w:hAnsi="Arial"/>
          <w:sz w:val="24"/>
          <w:szCs w:val="24"/>
        </w:rPr>
        <w:t xml:space="preserve">0,6 – коэффициент перевода в сухую массу;</w:t>
      </w:r>
    </w:p>
    <w:p>
      <w:pPr>
        <w:spacing w:after="120"/>
        <w:jc w:val="both"/>
      </w:pPr>
      <w:r>
        <w:rPr>
          <w:rFonts w:ascii="Arial" w:cs="Arial" w:eastAsia="Arial" w:hAnsi="Arial"/>
          <w:sz w:val="24"/>
          <w:szCs w:val="24"/>
        </w:rPr>
        <w:t xml:space="preserve">Nга – площадь пастбищного участка;</w:t>
      </w:r>
    </w:p>
    <w:p>
      <w:pPr>
        <w:spacing w:after="120"/>
        <w:jc w:val="both"/>
      </w:pPr>
      <w:r>
        <w:rPr>
          <w:rFonts w:ascii="Arial" w:cs="Arial" w:eastAsia="Arial" w:hAnsi="Arial"/>
          <w:sz w:val="24"/>
          <w:szCs w:val="24"/>
        </w:rPr>
        <w:t xml:space="preserve">0,7 –коэффициент стравливания;</w:t>
      </w:r>
    </w:p>
    <w:p>
      <w:pPr>
        <w:spacing w:after="120"/>
        <w:jc w:val="both"/>
      </w:pPr>
      <w:r>
        <w:rPr>
          <w:rFonts w:ascii="Arial" w:cs="Arial" w:eastAsia="Arial" w:hAnsi="Arial"/>
          <w:sz w:val="24"/>
          <w:szCs w:val="24"/>
        </w:rPr>
        <w:t xml:space="preserve">N кун – количество выпасаемых дней;</w:t>
      </w:r>
    </w:p>
    <w:p>
      <w:pPr>
        <w:spacing w:after="120"/>
        <w:jc w:val="both"/>
      </w:pPr>
      <w:r>
        <w:rPr>
          <w:rFonts w:ascii="Arial" w:cs="Arial" w:eastAsia="Arial" w:hAnsi="Arial"/>
          <w:sz w:val="24"/>
          <w:szCs w:val="24"/>
        </w:rPr>
        <w:t xml:space="preserve">7,5 – объем сухой массы, требуемый 1 УГ в 1 сутки, кг.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использования пастбищ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 нагрузки на пастбища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Поскольку ПК до настоящего времени не проводил мониторинг пастбищ, план использования пастбищ на 2017 год разработан на основе карты, подготовленной ОФ САМР Алатоо. Карта с емкостью пастбищный участков была подготовлена на основе геоботанических данных. Данные являются результатами геоботанической экспедиции организации КыргызГипрозем, которая была проведена в 80-х годах.</w:t>
      </w:r>
    </w:p>
    <w:p>
      <w:pPr>
        <w:spacing w:after="120"/>
        <w:jc w:val="both"/>
      </w:pPr>
      <w:r>
        <w:rPr>
          <w:rFonts w:ascii="Arial" w:cs="Arial" w:eastAsia="Arial" w:hAnsi="Arial"/>
          <w:sz w:val="24"/>
          <w:szCs w:val="24"/>
        </w:rPr>
        <w:t xml:space="preserve">В следующей таблице (табл.11) представлена нагрузка на пастбища при сезонномвыпасе скота. Таблица с полным списком пастбищепользователей с их выпасаемым поголовьем скота даны в приложении 1.</w:t>
      </w:r>
    </w:p>
    <w:p>
      <w:pPr>
        <w:spacing w:after="120"/>
        <w:jc w:val="both"/>
      </w:pPr>
      <w:r>
        <w:rPr>
          <w:rFonts w:ascii="Arial" w:cs="Arial" w:eastAsia="Arial" w:hAnsi="Arial"/>
          <w:sz w:val="24"/>
          <w:szCs w:val="24"/>
        </w:rPr>
        <w:t xml:space="preserve">Емость и нагрузка на пастбища Жапалакского ТУС по сезонам</w:t>
      </w:r>
    </w:p>
    <w:p>
      <w:pPr>
        <w:spacing w:after="120"/>
        <w:jc w:val="both"/>
      </w:pPr>
      <w:r>
        <w:rPr>
          <w:rFonts w:ascii="Arial" w:cs="Arial" w:eastAsia="Arial" w:hAnsi="Arial"/>
          <w:sz w:val="24"/>
          <w:szCs w:val="24"/>
        </w:rPr>
        <w:t xml:space="preserve">Таблица 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4"/>
        <w:gridCol w:w="698"/>
        <w:gridCol w:w="698"/>
        <w:gridCol w:w="698"/>
        <w:gridCol w:w="684"/>
        <w:gridCol w:w="684"/>
        <w:gridCol w:w="684"/>
        <w:gridCol w:w="684"/>
        <w:gridCol w:w="684"/>
        <w:gridCol w:w="684"/>
        <w:gridCol w:w="709"/>
        <w:gridCol w:w="709"/>
        <w:gridCol w:w="709"/>
      </w:tblGrid>
      <w:tr>
        <w:tc>
          <w:tcPr>
            <w:tcW w:type="dxa" w:w="185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Пастбищные участки</w:t>
            </w:r>
          </w:p>
        </w:tc>
        <w:tc>
          <w:tcPr>
            <w:tcW w:type="dxa" w:w="209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ВЕСНА, 55 дней</w:t>
            </w:r>
          </w:p>
        </w:tc>
        <w:tc>
          <w:tcPr>
            <w:tcW w:type="dxa" w:w="205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ЛЕТО, 120 дней</w:t>
            </w:r>
          </w:p>
        </w:tc>
        <w:tc>
          <w:tcPr>
            <w:tcW w:type="dxa" w:w="205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ОСЕНЬ, 60 дней</w:t>
            </w:r>
          </w:p>
        </w:tc>
        <w:tc>
          <w:tcPr>
            <w:tcW w:type="dxa" w:w="212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ЗИМА, дней</w:t>
            </w:r>
          </w:p>
        </w:tc>
      </w:tr>
      <w:tr>
        <w:tc>
          <w:tcPr>
            <w:vMerge w:val="continue"/>
            <w:tcBorders>
              <w:top w:val="single" w:color="CBBF9E" w:sz="4"/>
              <w:left w:val="single" w:color="CBBF9E" w:sz="4"/>
              <w:bottom w:val="single" w:color="CBBF9E" w:sz="4"/>
              <w:right w:val="single" w:color="CBBF9E" w:sz="4"/>
            </w:tcBorders>
          </w:tcP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w:t>
            </w:r>
          </w:p>
        </w:tc>
      </w:tr>
      <w:tr>
        <w:tc>
          <w:tcPr>
            <w:tcW w:type="dxa" w:w="1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r>
      <w:tr>
        <w:tc>
          <w:tcPr>
            <w:tcW w:type="dxa" w:w="1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0ЗГУР</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r>
      <w:tr>
        <w:tc>
          <w:tcPr>
            <w:tcW w:type="dxa" w:w="1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1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r>
      <w:tr>
        <w:tc>
          <w:tcPr>
            <w:tcW w:type="dxa" w:w="1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Берки-Суу</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1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Тоеуз-Булак</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1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bl>
    <w:p>
      <w:pPr>
        <w:spacing w:after="120"/>
        <w:jc w:val="both"/>
      </w:pPr>
      <w:r>
        <w:rPr>
          <w:rFonts w:ascii="Arial" w:cs="Arial" w:eastAsia="Arial" w:hAnsi="Arial"/>
          <w:sz w:val="24"/>
          <w:szCs w:val="24"/>
        </w:rPr>
        <w:t xml:space="preserve">Адаптация плана использования пастбищ к изменению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основном изменение средней температуры воздуха и количество атмосферных осадков вызывают больше опасностей. Эти изменения непременно влияют на растительность. По результатам опроса было получено, что в последние десять лет наблюдаются изменения в составе растительности, кормовых трав становится все меньше. Это отражается на продуктивности пастбищ. Поэтому все больше пастбище пользователей жалуются на ухудшение состояния пастбищ.</w:t>
      </w:r>
    </w:p>
    <w:p>
      <w:pPr>
        <w:spacing w:after="120"/>
        <w:jc w:val="both"/>
      </w:pPr>
      <w:r>
        <w:rPr>
          <w:rFonts w:ascii="Arial" w:cs="Arial" w:eastAsia="Arial" w:hAnsi="Arial"/>
          <w:sz w:val="24"/>
          <w:szCs w:val="24"/>
        </w:rPr>
        <w:t xml:space="preserve">     В связи с этим, нельзя упускать из внимания влияние изменения климата на пастбища при составлении плана выпаса. Учитывая такую тенденцию, Жапалакский ПК при разработке плана использования пастбищ снизил ңмкость пастбищных участков на 10-12%, как отрицательное влияние изменения климата. Планируемая схема использования пастбищ приведена в Приложении (приложение 3).</w:t>
      </w:r>
    </w:p>
    <w:p>
      <w:pPr>
        <w:spacing w:after="120"/>
        <w:jc w:val="both"/>
      </w:pPr>
      <w:r>
        <w:rPr>
          <w:rFonts w:ascii="Arial" w:cs="Arial" w:eastAsia="Arial" w:hAnsi="Arial"/>
          <w:sz w:val="24"/>
          <w:szCs w:val="24"/>
        </w:rPr>
        <w:t xml:space="preserve">     Кроме этого, для адаптации к изменению климата Жапалакский ПК в пятилетнем плане управления пастбищами предусмотрел ряд мероприятий.</w:t>
      </w:r>
    </w:p>
    <w:p>
      <w:pPr>
        <w:spacing w:after="120"/>
        <w:jc w:val="both"/>
      </w:pPr>
      <w:r>
        <w:rPr>
          <w:rFonts w:ascii="Arial" w:cs="Arial" w:eastAsia="Arial" w:hAnsi="Arial"/>
          <w:sz w:val="24"/>
          <w:szCs w:val="24"/>
        </w:rPr>
        <w:t xml:space="preserve">     Пример расчңта снижения ңмкости пастбищных участков под влиянием изменения климата дан в следующей таблице (табл.12).</w:t>
      </w:r>
    </w:p>
    <w:p>
      <w:pPr>
        <w:spacing w:after="120"/>
        <w:jc w:val="both"/>
      </w:pPr>
      <w:r>
        <w:rPr>
          <w:rFonts w:ascii="Arial" w:cs="Arial" w:eastAsia="Arial" w:hAnsi="Arial"/>
          <w:sz w:val="24"/>
          <w:szCs w:val="24"/>
        </w:rPr>
        <w:t xml:space="preserve">Влияние изменения климата на продуктивную емкость пастбищ</w:t>
      </w:r>
    </w:p>
    <w:p>
      <w:pPr>
        <w:spacing w:after="120"/>
        <w:jc w:val="both"/>
      </w:pPr>
      <w:r>
        <w:rPr>
          <w:rFonts w:ascii="Arial" w:cs="Arial" w:eastAsia="Arial" w:hAnsi="Arial"/>
          <w:sz w:val="24"/>
          <w:szCs w:val="24"/>
        </w:rPr>
        <w:t xml:space="preserve">Таблица 12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2"/>
        <w:gridCol w:w="3407"/>
        <w:gridCol w:w="3609"/>
      </w:tblGrid>
      <w:tr>
        <w:tc>
          <w:tcPr>
            <w:tcW w:type="dxa" w:w="316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пастбищного участка</w:t>
            </w:r>
          </w:p>
        </w:tc>
        <w:tc>
          <w:tcPr>
            <w:tcW w:type="dxa" w:w="3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Ңмкость пастбищ, УГ</w:t>
            </w:r>
          </w:p>
        </w:tc>
        <w:tc>
          <w:tcPr>
            <w:tcW w:type="dxa" w:w="36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Ңмкость пастбищ, с учңтом воздействия изменения климата, УГ</w:t>
            </w:r>
          </w:p>
        </w:tc>
      </w:tr>
      <w:tr>
        <w:tc>
          <w:tcPr>
            <w:vMerge w:val="continue"/>
            <w:tcBorders>
              <w:top w:val="single" w:color="CBBF9E" w:sz="4"/>
              <w:left w:val="single" w:color="CBBF9E" w:sz="4"/>
              <w:bottom w:val="single" w:color="CBBF9E" w:sz="4"/>
              <w:right w:val="single" w:color="CBBF9E" w:sz="4"/>
            </w:tcBorders>
          </w:tcPr>
          <w:p/>
        </w:tc>
        <w:tc>
          <w:tcPr>
            <w:tcW w:type="dxa" w:w="3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3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Б=А*0,9</w:t>
            </w:r>
          </w:p>
        </w:tc>
      </w:tr>
      <w:tr>
        <w:tc>
          <w:tcPr>
            <w:tcW w:type="dxa" w:w="3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3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3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r>
      <w:tr>
        <w:tc>
          <w:tcPr>
            <w:tcW w:type="dxa" w:w="3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Озгур</w:t>
            </w:r>
          </w:p>
        </w:tc>
        <w:tc>
          <w:tcPr>
            <w:tcW w:type="dxa" w:w="3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3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r>
      <w:tr>
        <w:tc>
          <w:tcPr>
            <w:tcW w:type="dxa" w:w="3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Берки-суу</w:t>
            </w:r>
          </w:p>
        </w:tc>
        <w:tc>
          <w:tcPr>
            <w:tcW w:type="dxa" w:w="3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w:t>
            </w:r>
          </w:p>
        </w:tc>
        <w:tc>
          <w:tcPr>
            <w:tcW w:type="dxa" w:w="3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w:t>
            </w:r>
          </w:p>
        </w:tc>
      </w:tr>
      <w:tr>
        <w:tc>
          <w:tcPr>
            <w:tcW w:type="dxa" w:w="3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Тогуз-Булак</w:t>
            </w:r>
          </w:p>
        </w:tc>
        <w:tc>
          <w:tcPr>
            <w:tcW w:type="dxa" w:w="3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3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 основе примера Пастбищный Комитет Жапалакского ТУС совместно со своими пастбище пользователями пересчитали емкость пастбищных участков со снижением на 10% (Табл. 13)</w:t>
      </w:r>
    </w:p>
    <w:p>
      <w:pPr>
        <w:spacing w:after="120"/>
        <w:jc w:val="both"/>
      </w:pPr>
      <w:r>
        <w:rPr>
          <w:rFonts w:ascii="Arial" w:cs="Arial" w:eastAsia="Arial" w:hAnsi="Arial"/>
          <w:sz w:val="24"/>
          <w:szCs w:val="24"/>
        </w:rPr>
        <w:t xml:space="preserve">Емкость пастбищ с учетом изменения климата (ИК)</w:t>
      </w:r>
    </w:p>
    <w:p>
      <w:pPr>
        <w:spacing w:after="120"/>
        <w:jc w:val="both"/>
      </w:pPr>
      <w:r>
        <w:rPr>
          <w:rFonts w:ascii="Arial" w:cs="Arial" w:eastAsia="Arial" w:hAnsi="Arial"/>
          <w:sz w:val="24"/>
          <w:szCs w:val="24"/>
        </w:rPr>
        <w:t xml:space="preserve"> Таблица 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2"/>
        <w:gridCol w:w="997"/>
        <w:gridCol w:w="997"/>
        <w:gridCol w:w="997"/>
        <w:gridCol w:w="997"/>
        <w:gridCol w:w="997"/>
        <w:gridCol w:w="997"/>
        <w:gridCol w:w="997"/>
        <w:gridCol w:w="997"/>
      </w:tblGrid>
      <w:tr>
        <w:tc>
          <w:tcPr>
            <w:tcW w:type="dxa" w:w="220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Пастбищный участок</w:t>
            </w:r>
          </w:p>
        </w:tc>
        <w:tc>
          <w:tcPr>
            <w:tcW w:type="dxa" w:w="398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Ңмкость, УГ</w:t>
            </w:r>
          </w:p>
        </w:tc>
        <w:tc>
          <w:tcPr>
            <w:tcW w:type="dxa" w:w="398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Ңмкость, с учңтом влияния ИК</w:t>
            </w:r>
          </w:p>
        </w:tc>
      </w:tr>
      <w:tr>
        <w:tc>
          <w:tcPr>
            <w:vMerge w:val="continue"/>
            <w:tcBorders>
              <w:top w:val="single" w:color="CBBF9E" w:sz="4"/>
              <w:left w:val="single" w:color="CBBF9E" w:sz="4"/>
              <w:bottom w:val="single" w:color="CBBF9E" w:sz="4"/>
              <w:right w:val="single" w:color="CBBF9E" w:sz="4"/>
            </w:tcBorders>
          </w:tcP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Весна</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Лето</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Осень</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Зима</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Весна</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Лето</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Осень</w:t>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Зима</w:t>
            </w:r>
          </w:p>
        </w:tc>
      </w:tr>
      <w:tr>
        <w:tc>
          <w:tcPr>
            <w:tcW w:type="dxa" w:w="220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20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Жапалак</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288</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259</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X</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r>
      <w:tr>
        <w:tc>
          <w:tcPr>
            <w:tcW w:type="dxa" w:w="220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Озгур</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X</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r>
      <w:tr>
        <w:tc>
          <w:tcPr>
            <w:tcW w:type="dxa" w:w="220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Берки-суу</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943</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848</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X</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r>
      <w:tr>
        <w:tc>
          <w:tcPr>
            <w:tcW w:type="dxa" w:w="220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Тогуз-Булак</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471</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424</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X</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Затем провели планирование в соответствии с емкостью пастбищных участков, рассчитанной с учетом влияния изменения климата. На участках, где наблюдались высокие нагрузки, ПК предусмотрел мероприятия по перераспределению скота для снижения нагрузки, а также мероприятия поувеличению урожайности пастбищных растений.</w:t>
      </w:r>
    </w:p>
    <w:p>
      <w:pPr>
        <w:spacing w:after="120"/>
        <w:jc w:val="both"/>
      </w:pPr>
      <w:r>
        <w:rPr>
          <w:rFonts w:ascii="Arial" w:cs="Arial" w:eastAsia="Arial" w:hAnsi="Arial"/>
          <w:sz w:val="24"/>
          <w:szCs w:val="24"/>
        </w:rPr>
        <w:t xml:space="preserve">     В следующей таблице показаны лишь те участки, где были произведены изменения в схеме выпаса скота, во время разработки плана использования пастбищ Жапалакского ПК на 2017 год.</w:t>
      </w:r>
    </w:p>
    <w:p>
      <w:pPr>
        <w:spacing w:after="120"/>
        <w:jc w:val="both"/>
      </w:pPr>
      <w:r>
        <w:rPr>
          <w:rFonts w:ascii="Arial" w:cs="Arial" w:eastAsia="Arial" w:hAnsi="Arial"/>
          <w:sz w:val="24"/>
          <w:szCs w:val="24"/>
        </w:rPr>
        <w:t xml:space="preserve">Регулирование распределения скота на пастбищных участках с высокой нагрузкой</w:t>
      </w:r>
    </w:p>
    <w:p>
      <w:pPr>
        <w:spacing w:after="120"/>
        <w:jc w:val="both"/>
      </w:pPr>
      <w:r>
        <w:rPr>
          <w:rFonts w:ascii="Arial" w:cs="Arial" w:eastAsia="Arial" w:hAnsi="Arial"/>
          <w:sz w:val="24"/>
          <w:szCs w:val="24"/>
        </w:rPr>
        <w:t xml:space="preserve"> Таблица 14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4"/>
        <w:gridCol w:w="1214"/>
        <w:gridCol w:w="1214"/>
        <w:gridCol w:w="1847"/>
        <w:gridCol w:w="1551"/>
        <w:gridCol w:w="1278"/>
        <w:gridCol w:w="1278"/>
      </w:tblGrid>
      <w:tr>
        <w:tc>
          <w:tcPr>
            <w:tcW w:type="dxa" w:w="179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Название участка</w:t>
            </w:r>
          </w:p>
        </w:tc>
        <w:tc>
          <w:tcPr>
            <w:tcW w:type="dxa" w:w="242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Выпасаемый скот, УГ</w:t>
            </w:r>
          </w:p>
        </w:tc>
        <w:tc>
          <w:tcPr>
            <w:tcW w:type="dxa" w:w="184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Ңмкость</w:t>
            </w:r>
          </w:p>
        </w:tc>
        <w:tc>
          <w:tcPr>
            <w:tcW w:type="dxa" w:w="155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дней выпаса</w:t>
            </w:r>
          </w:p>
        </w:tc>
        <w:tc>
          <w:tcPr>
            <w:tcW w:type="dxa" w:w="255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Нагрузка на пастбища</w:t>
            </w:r>
          </w:p>
        </w:tc>
      </w:tr>
      <w:tr>
        <w:tc>
          <w:tcPr>
            <w:vMerge w:val="continue"/>
            <w:tcBorders>
              <w:top w:val="single" w:color="CBBF9E" w:sz="4"/>
              <w:left w:val="single" w:color="CBBF9E" w:sz="4"/>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плана</w:t>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После плана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плана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После плана</w:t>
            </w:r>
          </w:p>
        </w:tc>
      </w:tr>
      <w:tr>
        <w:tc>
          <w:tcPr>
            <w:vMerge w:val="continue"/>
            <w:tcBorders>
              <w:top w:val="single" w:color="CBBF9E" w:sz="4"/>
              <w:left w:val="single" w:color="CBBF9E" w:sz="4"/>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Б/С</w:t>
            </w:r>
          </w:p>
        </w:tc>
      </w:tr>
      <w:tr>
        <w:tc>
          <w:tcPr>
            <w:tcW w:type="dxa" w:w="179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8382"/>
            <w:gridSpan w:val="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Лето</w:t>
            </w:r>
          </w:p>
        </w:tc>
      </w:tr>
      <w:tr>
        <w:tc>
          <w:tcPr>
            <w:tcW w:type="dxa" w:w="179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Жапалак</w:t>
            </w:r>
          </w:p>
        </w:tc>
        <w:tc>
          <w:tcPr>
            <w:tcW w:type="dxa" w:w="12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346</w:t>
            </w:r>
          </w:p>
        </w:tc>
        <w:tc>
          <w:tcPr>
            <w:tcW w:type="dxa" w:w="12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304</w:t>
            </w:r>
          </w:p>
        </w:tc>
        <w:tc>
          <w:tcPr>
            <w:tcW w:type="dxa" w:w="18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288</w:t>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127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w:t>
            </w:r>
          </w:p>
        </w:tc>
        <w:tc>
          <w:tcPr>
            <w:tcW w:type="dxa" w:w="127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r>
      <w:tr>
        <w:tc>
          <w:tcPr>
            <w:tcW w:type="dxa" w:w="179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Озгур</w:t>
            </w:r>
          </w:p>
        </w:tc>
        <w:tc>
          <w:tcPr>
            <w:tcW w:type="dxa" w:w="12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w:t>
            </w:r>
          </w:p>
        </w:tc>
        <w:tc>
          <w:tcPr>
            <w:tcW w:type="dxa" w:w="12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c>
          <w:tcPr>
            <w:tcW w:type="dxa" w:w="18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27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25.2%</w:t>
            </w:r>
          </w:p>
        </w:tc>
        <w:tc>
          <w:tcPr>
            <w:tcW w:type="dxa" w:w="127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условии Жапалакского ТУС на сегодняшний день, несмотря на то, что большинство ското-владельцев выпасают свой скот на территории ЛХ, все же наблюдается высокая перегруженность пресильных пастбищ.</w:t>
      </w:r>
    </w:p>
    <w:p>
      <w:pPr>
        <w:spacing w:after="120"/>
        <w:jc w:val="both"/>
      </w:pPr>
      <w:r>
        <w:rPr>
          <w:rFonts w:ascii="Arial" w:cs="Arial" w:eastAsia="Arial" w:hAnsi="Arial"/>
          <w:sz w:val="24"/>
          <w:szCs w:val="24"/>
        </w:rPr>
        <w:t xml:space="preserve">Поэтому, чтобы решить эту проблему необходимо договориться с крупными скота владельцами, чтобы они использовали отдалңнные пастбища. Лишь в таком случае, возможно, решить проблемы, связанные с недостатком зимних кормов и высокой на</w:t>
      </w:r>
      <w:r>
        <w:rPr>
          <w:rFonts w:ascii="Arial" w:cs="Arial" w:eastAsia="Arial" w:hAnsi="Arial"/>
          <w:sz w:val="24"/>
          <w:szCs w:val="24"/>
        </w:rPr>
        <w:t xml:space="preserve">грузкой на пресильные пастбища.</w:t>
      </w:r>
    </w:p>
    <w:p>
      <w:pPr>
        <w:spacing w:after="120"/>
        <w:jc w:val="both"/>
      </w:pPr>
      <w:r>
        <w:rPr>
          <w:rFonts w:ascii="Arial" w:cs="Arial" w:eastAsia="Arial" w:hAnsi="Arial"/>
          <w:sz w:val="24"/>
          <w:szCs w:val="24"/>
        </w:rPr>
        <w:t xml:space="preserve">Сотрудничество с Лесными хозяйствами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Кара-Сууйское Лесное хозяйство (ЛХ) расположено по соседству с Жапалакским ТУС. На территории Жапалакского ТУС имеется земли Кара-Сууйского лесного хозяйства. В данное время со стороны Жапалакского ТУС создана комиссия по определению границ и площадей земель Кара-Сууйского лесного хозяйства. До сегодняшнего дня земельные налоги на все пастбища Жапалакского ТУС уплачиваются Пастбищным комитетом.</w:t>
      </w:r>
    </w:p>
    <w:p>
      <w:pPr>
        <w:spacing w:after="120"/>
        <w:jc w:val="both"/>
      </w:pPr>
      <w:r>
        <w:rPr>
          <w:rFonts w:ascii="Arial" w:cs="Arial" w:eastAsia="Arial" w:hAnsi="Arial"/>
          <w:sz w:val="24"/>
          <w:szCs w:val="24"/>
        </w:rPr>
        <w:t xml:space="preserve">     После определения границ и площадей земель Кара-Сууйского лесного хозяйства будет заключен договор о сотрудничестве.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животноводства на уровне ТУС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Учитывая, перспективы развития животноводства и ңмкость (нагрузка) пастбищ, основными приоритетами являются: улучшение генетического потенциала (породность) разводимых животных, создание прочной кормовой базы (зимних запасов) и доступ к переработке и сбыту произведңнной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Жапалакского Пастбищного комитета по развитию животноводства на 2016-2019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8"/>
        <w:gridCol w:w="3076"/>
        <w:gridCol w:w="2745"/>
        <w:gridCol w:w="1786"/>
        <w:gridCol w:w="2023"/>
      </w:tblGrid>
      <w:tr>
        <w:tc>
          <w:tcPr>
            <w:tcW w:type="dxa" w:w="5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0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w:t>
            </w:r>
          </w:p>
        </w:tc>
        <w:tc>
          <w:tcPr>
            <w:tcW w:type="dxa" w:w="27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w:t>
            </w:r>
          </w:p>
        </w:tc>
        <w:tc>
          <w:tcPr>
            <w:tcW w:type="dxa" w:w="17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w:t>
            </w:r>
          </w:p>
        </w:tc>
        <w:tc>
          <w:tcPr>
            <w:tcW w:type="dxa" w:w="20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Ответственное лицо</w:t>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породы скота</w:t>
            </w:r>
          </w:p>
        </w:tc>
        <w:tc>
          <w:tcPr>
            <w:tcW w:type="dxa" w:w="2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ПИО (Пункт искусственного осеменения)</w:t>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2016г.</w:t>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ЧВС, ПК</w:t>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кормления скота в зимний период</w:t>
            </w:r>
          </w:p>
        </w:tc>
        <w:tc>
          <w:tcPr>
            <w:tcW w:type="dxa" w:w="2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площади культур многолетних трав – эспарцет –</w:t>
            </w:r>
          </w:p>
          <w:p>
            <w:pPr>
              <w:jc w:val="left"/>
            </w:pPr>
            <w:r>
              <w:rPr>
                <w:rFonts w:ascii="Arial" w:cs="Arial" w:eastAsia="Arial" w:hAnsi="Arial"/>
                <w:sz w:val="24"/>
                <w:szCs w:val="24"/>
              </w:rPr>
              <w:t xml:space="preserve">Люцерна-</w:t>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2017 г.</w:t>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w:t>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Возрождение переработки животноводческой продукции</w:t>
            </w:r>
          </w:p>
        </w:tc>
        <w:tc>
          <w:tcPr>
            <w:tcW w:type="dxa" w:w="2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перерабатывающего цеха (молоко)</w:t>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2017 г.</w:t>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w:t>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Жапалакского Пастбищного комитета по развитию животноводства на 2016-2019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8"/>
        <w:gridCol w:w="3076"/>
        <w:gridCol w:w="2745"/>
        <w:gridCol w:w="1786"/>
        <w:gridCol w:w="2023"/>
      </w:tblGrid>
      <w:tr>
        <w:tc>
          <w:tcPr>
            <w:tcW w:type="dxa" w:w="5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0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w:t>
            </w:r>
          </w:p>
        </w:tc>
        <w:tc>
          <w:tcPr>
            <w:tcW w:type="dxa" w:w="27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w:t>
            </w:r>
          </w:p>
        </w:tc>
        <w:tc>
          <w:tcPr>
            <w:tcW w:type="dxa" w:w="17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w:t>
            </w:r>
          </w:p>
        </w:tc>
        <w:tc>
          <w:tcPr>
            <w:tcW w:type="dxa" w:w="20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Ответственное лицо</w:t>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породы скота</w:t>
            </w:r>
          </w:p>
        </w:tc>
        <w:tc>
          <w:tcPr>
            <w:tcW w:type="dxa" w:w="2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ПИО (Пункт искусственного осеменения)</w:t>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2016г.</w:t>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ЧВС, ПК</w:t>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кормления скота в зимний период</w:t>
            </w:r>
          </w:p>
        </w:tc>
        <w:tc>
          <w:tcPr>
            <w:tcW w:type="dxa" w:w="2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площади культур многолетних трав – эспарцет –</w:t>
            </w:r>
          </w:p>
          <w:p>
            <w:pPr>
              <w:jc w:val="left"/>
            </w:pPr>
            <w:r>
              <w:rPr>
                <w:rFonts w:ascii="Arial" w:cs="Arial" w:eastAsia="Arial" w:hAnsi="Arial"/>
                <w:sz w:val="24"/>
                <w:szCs w:val="24"/>
              </w:rPr>
              <w:t xml:space="preserve">Люцерна-</w:t>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2017 г.</w:t>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w:t>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Возрождение переработки животноводческой продукции</w:t>
            </w:r>
          </w:p>
        </w:tc>
        <w:tc>
          <w:tcPr>
            <w:tcW w:type="dxa" w:w="2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перерабатывающего цеха (молоко)</w:t>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2017 г.</w:t>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охраны здоровья животных на 2017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противоэпизоотических, профилактических мероприятий и ветеринарно-диагностических исследований животных и птиц 2017 г. по Жапалакскому ТУС города Ош.</w:t>
      </w:r>
    </w:p>
    <w:p>
      <w:pPr>
        <w:spacing w:after="120"/>
        <w:jc w:val="both"/>
      </w:pPr>
      <w:r>
        <w:rPr>
          <w:rFonts w:ascii="Arial" w:cs="Arial" w:eastAsia="Arial" w:hAnsi="Arial"/>
          <w:sz w:val="24"/>
          <w:szCs w:val="24"/>
        </w:rPr>
        <w:t xml:space="preserve">Схема</w:t>
      </w:r>
    </w:p>
    <w:p>
      <w:pPr>
        <w:spacing w:after="120"/>
        <w:jc w:val="both"/>
      </w:pPr>
      <w:r>
        <w:rPr>
          <w:rFonts w:ascii="Arial" w:cs="Arial" w:eastAsia="Arial" w:hAnsi="Arial"/>
          <w:sz w:val="24"/>
          <w:szCs w:val="24"/>
        </w:rPr>
        <w:t xml:space="preserve">ветеринарных обработок животных Жапалакского ТУС города Ош.</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3"/>
        <w:gridCol w:w="2191"/>
        <w:gridCol w:w="2078"/>
        <w:gridCol w:w="1531"/>
        <w:gridCol w:w="938"/>
        <w:gridCol w:w="1957"/>
      </w:tblGrid>
      <w:tr>
        <w:tc>
          <w:tcPr>
            <w:tcW w:type="dxa" w:w="14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w:t>
            </w:r>
          </w:p>
          <w:p>
            <w:pPr>
              <w:jc w:val="left"/>
            </w:pPr>
            <w:r>
              <w:rPr>
                <w:rFonts w:ascii="Arial" w:cs="Arial" w:eastAsia="Arial" w:hAnsi="Arial"/>
                <w:sz w:val="24"/>
                <w:szCs w:val="24"/>
              </w:rPr>
              <w:t xml:space="preserve">проведения</w:t>
            </w:r>
          </w:p>
        </w:tc>
        <w:tc>
          <w:tcPr>
            <w:tcW w:type="dxa" w:w="21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w:t>
            </w:r>
          </w:p>
          <w:p>
            <w:pPr>
              <w:jc w:val="left"/>
            </w:pPr>
            <w:r>
              <w:rPr>
                <w:rFonts w:ascii="Arial" w:cs="Arial" w:eastAsia="Arial" w:hAnsi="Arial"/>
                <w:sz w:val="24"/>
                <w:szCs w:val="24"/>
              </w:rPr>
              <w:t xml:space="preserve">обработки</w:t>
            </w:r>
          </w:p>
        </w:tc>
        <w:tc>
          <w:tcPr>
            <w:tcW w:type="dxa" w:w="20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w:t>
            </w:r>
          </w:p>
          <w:p>
            <w:pPr>
              <w:jc w:val="left"/>
            </w:pPr>
            <w:r>
              <w:rPr>
                <w:rFonts w:ascii="Arial" w:cs="Arial" w:eastAsia="Arial" w:hAnsi="Arial"/>
                <w:sz w:val="24"/>
                <w:szCs w:val="24"/>
              </w:rPr>
              <w:t xml:space="preserve">выполнения</w:t>
            </w:r>
          </w:p>
        </w:tc>
        <w:tc>
          <w:tcPr>
            <w:tcW w:type="dxa" w:w="15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препарата</w:t>
            </w:r>
          </w:p>
        </w:tc>
        <w:tc>
          <w:tcPr>
            <w:tcW w:type="dxa" w:w="9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Разовая доза</w:t>
            </w:r>
          </w:p>
        </w:tc>
        <w:tc>
          <w:tcPr>
            <w:tcW w:type="dxa" w:w="19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Собаки и кошки</w:t>
            </w:r>
          </w:p>
        </w:tc>
      </w:tr>
      <w:tr>
        <w:tc>
          <w:tcPr>
            <w:tcW w:type="dxa" w:w="1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Дегельминтизация против эхинококкоза</w:t>
            </w:r>
          </w:p>
          <w:p>
            <w:pPr>
              <w:jc w:val="left"/>
            </w:pPr>
            <w:r>
              <w:rPr>
                <w:rFonts w:ascii="Arial" w:cs="Arial" w:eastAsia="Arial" w:hAnsi="Arial"/>
                <w:sz w:val="24"/>
                <w:szCs w:val="24"/>
              </w:rPr>
              <w:t xml:space="preserve">(215 собак 18 кошек)</w:t>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скармливание</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Авинокс</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таб на 10 кг ж/в</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w:t>
            </w:r>
          </w:p>
        </w:tc>
      </w:tr>
      <w:tr>
        <w:tc>
          <w:tcPr>
            <w:tcW w:type="dxa" w:w="1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 февраль 2016 г.</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против бешенства</w:t>
            </w:r>
          </w:p>
          <w:p>
            <w:pPr>
              <w:jc w:val="left"/>
            </w:pPr>
            <w:r>
              <w:rPr>
                <w:rFonts w:ascii="Arial" w:cs="Arial" w:eastAsia="Arial" w:hAnsi="Arial"/>
                <w:sz w:val="24"/>
                <w:szCs w:val="24"/>
              </w:rPr>
              <w:t xml:space="preserve">(215собак 18 кошек)</w:t>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Поливлентаная вкцина</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мл</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Куры</w:t>
            </w:r>
          </w:p>
        </w:tc>
      </w:tr>
      <w:tr>
        <w:tc>
          <w:tcPr>
            <w:tcW w:type="dxa" w:w="1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 февраль</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против болезни Ньюкасла</w:t>
            </w:r>
          </w:p>
          <w:p>
            <w:pPr>
              <w:jc w:val="left"/>
            </w:pPr>
            <w:r>
              <w:rPr>
                <w:rFonts w:ascii="Arial" w:cs="Arial" w:eastAsia="Arial" w:hAnsi="Arial"/>
                <w:sz w:val="24"/>
                <w:szCs w:val="24"/>
              </w:rPr>
              <w:t xml:space="preserve">(4500 гол.)</w:t>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мл.</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Крупнорогатый скот</w:t>
            </w:r>
          </w:p>
        </w:tc>
      </w:tr>
      <w:tr>
        <w:tc>
          <w:tcPr>
            <w:tcW w:type="dxa" w:w="1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против Сибирской язвы (870 голов)</w:t>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Вакцина СТИ (г. Владимир Россия)</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мл.</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w:t>
            </w:r>
          </w:p>
        </w:tc>
      </w:tr>
      <w:tr>
        <w:tc>
          <w:tcPr>
            <w:tcW w:type="dxa" w:w="1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 май</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против Эмфизематозного карбункула</w:t>
            </w:r>
          </w:p>
          <w:p>
            <w:pPr>
              <w:jc w:val="left"/>
            </w:pPr>
            <w:r>
              <w:rPr>
                <w:rFonts w:ascii="Arial" w:cs="Arial" w:eastAsia="Arial" w:hAnsi="Arial"/>
                <w:sz w:val="24"/>
                <w:szCs w:val="24"/>
              </w:rPr>
              <w:t xml:space="preserve">(840 голов)</w:t>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«Алтын тамыр»</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мл</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w:t>
            </w:r>
          </w:p>
        </w:tc>
      </w:tr>
      <w:tr>
        <w:tc>
          <w:tcPr>
            <w:tcW w:type="dxa" w:w="1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 июль</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Взятие проб крови для исследования на бруцеллез (450 гол.)</w:t>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в лабораторию</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w:t>
            </w:r>
          </w:p>
        </w:tc>
      </w:tr>
      <w:tr>
        <w:tc>
          <w:tcPr>
            <w:tcW w:type="dxa" w:w="1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Ноябрь декабрь</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Ящур</w:t>
            </w:r>
          </w:p>
          <w:p>
            <w:pPr>
              <w:jc w:val="left"/>
            </w:pPr>
            <w:r>
              <w:rPr>
                <w:rFonts w:ascii="Arial" w:cs="Arial" w:eastAsia="Arial" w:hAnsi="Arial"/>
                <w:sz w:val="24"/>
                <w:szCs w:val="24"/>
              </w:rPr>
              <w:t xml:space="preserve">(880 гол)</w:t>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 валент</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мл</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w:t>
            </w:r>
          </w:p>
        </w:tc>
      </w:tr>
      <w:tr>
        <w:tc>
          <w:tcPr>
            <w:tcW w:type="dxa" w:w="1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Ноябрь декабрь</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Взятие проб крови для исследования на бруцеллез (880 гол.)</w:t>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в лабораторию</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Мелкий рогатый скот</w:t>
            </w:r>
          </w:p>
        </w:tc>
      </w:tr>
      <w:tr>
        <w:tc>
          <w:tcPr>
            <w:tcW w:type="dxa" w:w="1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 май</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Пастереллез</w:t>
            </w:r>
          </w:p>
          <w:p>
            <w:pPr>
              <w:jc w:val="left"/>
            </w:pPr>
            <w:r>
              <w:rPr>
                <w:rFonts w:ascii="Arial" w:cs="Arial" w:eastAsia="Arial" w:hAnsi="Arial"/>
                <w:sz w:val="24"/>
                <w:szCs w:val="24"/>
              </w:rPr>
              <w:t xml:space="preserve">(7000 гол.)</w:t>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 мл</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w:t>
            </w:r>
          </w:p>
        </w:tc>
      </w:tr>
      <w:tr>
        <w:tc>
          <w:tcPr>
            <w:tcW w:type="dxa" w:w="1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Взятие проб крови для исследования на бруцеллез (35 гол. баранов-производителей)</w:t>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в лабораторию</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w:t>
            </w:r>
          </w:p>
        </w:tc>
      </w:tr>
      <w:tr>
        <w:tc>
          <w:tcPr>
            <w:tcW w:type="dxa" w:w="1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 июль</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Купка против экзопаразитов</w:t>
            </w:r>
          </w:p>
          <w:p>
            <w:pPr>
              <w:jc w:val="left"/>
            </w:pPr>
            <w:r>
              <w:rPr>
                <w:rFonts w:ascii="Arial" w:cs="Arial" w:eastAsia="Arial" w:hAnsi="Arial"/>
                <w:sz w:val="24"/>
                <w:szCs w:val="24"/>
              </w:rPr>
              <w:t xml:space="preserve">(7000 гол.)</w:t>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неоцедол</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литр на 15000 литр</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w:t>
            </w:r>
          </w:p>
        </w:tc>
      </w:tr>
      <w:tr>
        <w:tc>
          <w:tcPr>
            <w:tcW w:type="dxa" w:w="1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против бруцеллеза</w:t>
            </w:r>
          </w:p>
          <w:p>
            <w:pPr>
              <w:jc w:val="left"/>
            </w:pPr>
            <w:r>
              <w:rPr>
                <w:rFonts w:ascii="Arial" w:cs="Arial" w:eastAsia="Arial" w:hAnsi="Arial"/>
                <w:sz w:val="24"/>
                <w:szCs w:val="24"/>
              </w:rPr>
              <w:t xml:space="preserve">(1307 гол.)</w:t>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конъюнктивальное</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Rev-1</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w:t>
            </w:r>
          </w:p>
        </w:tc>
      </w:tr>
      <w:tr>
        <w:tc>
          <w:tcPr>
            <w:tcW w:type="dxa" w:w="1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2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Взятие проб крови для исследования на бруцеллез (35 гол. баранов-производителей)</w:t>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в лабораторию</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 каждое проделанное ветеринарное фитосанитарное мероприятие должно</w:t>
      </w:r>
    </w:p>
    <w:p>
      <w:pPr>
        <w:spacing w:after="120"/>
        <w:jc w:val="both"/>
      </w:pPr>
      <w:r>
        <w:rPr>
          <w:rFonts w:ascii="Arial" w:cs="Arial" w:eastAsia="Arial" w:hAnsi="Arial"/>
          <w:sz w:val="24"/>
          <w:szCs w:val="24"/>
        </w:rPr>
        <w:t xml:space="preserve"> прилагаться опись и акт.</w:t>
      </w:r>
    </w:p>
    <w:p>
      <w:pPr>
        <w:spacing w:after="120"/>
        <w:jc w:val="both"/>
      </w:pPr>
      <w:r>
        <w:rPr>
          <w:rFonts w:ascii="Arial" w:cs="Arial" w:eastAsia="Arial" w:hAnsi="Arial"/>
          <w:sz w:val="24"/>
          <w:szCs w:val="24"/>
        </w:rPr>
        <w:t xml:space="preserve">Проблемы и потребности в рациональном использовании и управлении пастбищами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Определены инфраструктурные и прочие вопросы Жапалакского ПК, также поставлены сроки реализации и приблизительная себестоимость каждого мерпориятия на 2016-2019-гг.</w:t>
      </w:r>
    </w:p>
    <w:p>
      <w:pPr>
        <w:spacing w:after="120"/>
        <w:jc w:val="both"/>
      </w:pPr>
      <w:r>
        <w:rPr>
          <w:rFonts w:ascii="Arial" w:cs="Arial" w:eastAsia="Arial" w:hAnsi="Arial"/>
          <w:sz w:val="24"/>
          <w:szCs w:val="24"/>
        </w:rPr>
        <w:t xml:space="preserve">     Из расписанных мероприятий ниже для реализации при поддержке Проекта Развития Животноводства и Рынка будут отобраны несколько на общем собрании населения. Точная стоимость осуществления каждого отобранного мероприятия будет расчитываться при проведении отдельного мониторинга сотрудниками АРИС.</w:t>
      </w:r>
    </w:p>
    <w:p>
      <w:pPr>
        <w:spacing w:after="120"/>
        <w:jc w:val="both"/>
      </w:pPr>
      <w:r>
        <w:rPr>
          <w:rFonts w:ascii="Arial" w:cs="Arial" w:eastAsia="Arial" w:hAnsi="Arial"/>
          <w:sz w:val="24"/>
          <w:szCs w:val="24"/>
        </w:rPr>
        <w:t xml:space="preserve">Ответственность за осуществления плана ПК возлагает на себя. Реализация намеченных мероприятий предупредит деградацию пастбищных угодий, приведет к рациональному использованию пастбищных участков.</w:t>
      </w:r>
    </w:p>
    <w:p>
      <w:pPr>
        <w:spacing w:after="120"/>
        <w:jc w:val="both"/>
      </w:pPr>
      <w:r>
        <w:rPr>
          <w:rFonts w:ascii="Arial" w:cs="Arial" w:eastAsia="Arial" w:hAnsi="Arial"/>
          <w:sz w:val="24"/>
          <w:szCs w:val="24"/>
        </w:rPr>
        <w:t xml:space="preserve">Планы по улучшению пастбищных инфраструктур определяется в общем собрании местных пастбищепользователей и утверждается в сессии депутатов местного кенеша.</w:t>
      </w:r>
    </w:p>
    <w:p>
      <w:pPr>
        <w:spacing w:after="120"/>
        <w:jc w:val="both"/>
      </w:pPr>
      <w:r>
        <w:rPr>
          <w:rFonts w:ascii="Arial" w:cs="Arial" w:eastAsia="Arial" w:hAnsi="Arial"/>
          <w:sz w:val="24"/>
          <w:szCs w:val="24"/>
        </w:rPr>
        <w:t xml:space="preserve">Утвержденные мероприятия для реализации в 2016 г. Будет включен в бюджет Пастбищного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исполнения Плана управления пастбищами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Мониторинг исполнения Плана управления пастбищами проводится на ежегодной основе Группой мониторинга на уровне Жапалакского ТУС, которая создается приказом главы Жапалакского ТУС. В состав данной группы входят члены ЖК, сотрудники ТУС, депутаты Ошского городского Кенеша, члены сообщества из числа женщин, молодежи, уязвимого слоя населения.             На годовых ежегодных собраниях членов Жапалакского ОПП предоставляется информация о ходе реализации данного Плана управления пастбищами и носит рекомендательный характер, а также на сессии Ошского городского Кенеша для принятия решения. Соответственно, ЖК в План управления пастбищами могут вносить изменения согласно рекомендациям со стороны Группы мониторинга, а также сессии Ошского городского Кенеша. Изменения могут касаться содержания, методологии и инструментов, и т.д.</w:t>
      </w:r>
    </w:p>
    <w:p>
      <w:pPr>
        <w:spacing w:after="120"/>
        <w:jc w:val="both"/>
      </w:pPr>
      <w:r>
        <w:rPr>
          <w:rFonts w:ascii="Arial" w:cs="Arial" w:eastAsia="Arial" w:hAnsi="Arial"/>
          <w:sz w:val="24"/>
          <w:szCs w:val="24"/>
        </w:rPr>
        <w:t xml:space="preserve">     При проведении мониторинга исполнения Плана управления пастбищами используется метод «Радар» с участием таких групп как: крупные чабаны, мелкие чабаны, молодежь, женщины, бедные домохозяйства. Метод Радар предполагает опрос у выше названных групп по отдельности по следующим блокам вопросов по 5 бальной шкале оценки:</w:t>
      </w:r>
    </w:p>
    <w:p>
      <w:pPr>
        <w:spacing w:after="120"/>
        <w:jc w:val="both"/>
      </w:pPr>
      <w:r>
        <w:rPr>
          <w:rFonts w:ascii="Arial" w:cs="Arial" w:eastAsia="Arial" w:hAnsi="Arial"/>
          <w:sz w:val="24"/>
          <w:szCs w:val="24"/>
        </w:rPr>
        <w:t xml:space="preserve">Улучшения инфраструктуры пастбища;</w:t>
      </w:r>
    </w:p>
    <w:p>
      <w:pPr>
        <w:spacing w:after="120"/>
        <w:jc w:val="both"/>
      </w:pPr>
      <w:r>
        <w:rPr>
          <w:rFonts w:ascii="Arial" w:cs="Arial" w:eastAsia="Arial" w:hAnsi="Arial"/>
          <w:sz w:val="24"/>
          <w:szCs w:val="24"/>
        </w:rPr>
        <w:t xml:space="preserve">Улучшение кормовой базы: естественная, искусственная;</w:t>
      </w:r>
    </w:p>
    <w:p>
      <w:pPr>
        <w:spacing w:after="120"/>
        <w:jc w:val="both"/>
      </w:pPr>
      <w:r>
        <w:rPr>
          <w:rFonts w:ascii="Arial" w:cs="Arial" w:eastAsia="Arial" w:hAnsi="Arial"/>
          <w:sz w:val="24"/>
          <w:szCs w:val="24"/>
        </w:rPr>
        <w:t xml:space="preserve">Улучшение мероприятий по охране здоровья животных;</w:t>
      </w:r>
    </w:p>
    <w:p>
      <w:pPr>
        <w:spacing w:after="120"/>
        <w:jc w:val="both"/>
      </w:pPr>
      <w:r>
        <w:rPr>
          <w:rFonts w:ascii="Arial" w:cs="Arial" w:eastAsia="Arial" w:hAnsi="Arial"/>
          <w:sz w:val="24"/>
          <w:szCs w:val="24"/>
        </w:rPr>
        <w:t xml:space="preserve">Улучшение состояния пастбищ: управление (менеджмент), агротехнические мероприятия (подсев, удобрение, и т.д.);</w:t>
      </w:r>
    </w:p>
    <w:p>
      <w:pPr>
        <w:spacing w:after="120"/>
        <w:jc w:val="both"/>
      </w:pPr>
      <w:r>
        <w:rPr>
          <w:rFonts w:ascii="Arial" w:cs="Arial" w:eastAsia="Arial" w:hAnsi="Arial"/>
          <w:sz w:val="24"/>
          <w:szCs w:val="24"/>
        </w:rPr>
        <w:t xml:space="preserve">Степень участия уязвимого слоя населения при управлении пастбищными ресурсами;</w:t>
      </w:r>
    </w:p>
    <w:p>
      <w:pPr>
        <w:spacing w:after="120"/>
        <w:jc w:val="both"/>
      </w:pPr>
      <w:r>
        <w:rPr>
          <w:rFonts w:ascii="Arial" w:cs="Arial" w:eastAsia="Arial" w:hAnsi="Arial"/>
          <w:sz w:val="24"/>
          <w:szCs w:val="24"/>
        </w:rPr>
        <w:t xml:space="preserve">Повышения благосостояния – доходность населения (упитанность скота, цепочка добавленной стоимости, социально-экономические показатели –данные статистического комитета района</w:t>
      </w:r>
    </w:p>
    <w:p>
      <w:pPr>
        <w:spacing w:after="120"/>
        <w:jc w:val="both"/>
      </w:pPr>
      <w:r>
        <w:rPr>
          <w:rFonts w:ascii="Arial" w:cs="Arial" w:eastAsia="Arial" w:hAnsi="Arial"/>
          <w:sz w:val="24"/>
          <w:szCs w:val="24"/>
        </w:rPr>
        <w:t xml:space="preserve">     Полученные результаты отслеживаются на ежегодной основе в течение срока исполнения Плана управления пастбищами. Полученные промежуточные (годовые) результаты представляются всем жителям Жапалакского ТУС в целях обеспечения прозрачности и осведомленности о деятельности ОПП Жапалакского ТУС.</w:t>
      </w:r>
    </w:p>
    <w:p>
      <w:pPr>
        <w:spacing w:after="120"/>
        <w:jc w:val="both"/>
      </w:pPr>
      <w:r>
        <w:rPr>
          <w:rFonts w:ascii="Arial" w:cs="Arial" w:eastAsia="Arial" w:hAnsi="Arial"/>
          <w:sz w:val="24"/>
          <w:szCs w:val="24"/>
        </w:rPr>
        <w:t xml:space="preserve">     При проведении мониторинга исполнения Плана управления пастбищами Жапалакского ТУС могут использоваться другие методы и инструменты по мере необходимости. Мониторинг исполнения Плана управления могут проводить все заинтересованные стороны в лице членов данного сообщества, действующих и потенциальных доноров, партнеров, соответствующих государственных органов всех уровней, АРИС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Выгода пастбищепользователей (результаты) от реализации Плана управления пастбищами Жапалакского ТУС.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цели разработки Плана управления пастбищами, члены сообщества – пастищепользователи Жапалакского ТУС получат выгоду 75% из предполагаемых участвующих 750 домохозяйств. Результаты исполнения Плана управления пастбищами отображены в таблице ниже.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9"/>
        <w:gridCol w:w="3010"/>
        <w:gridCol w:w="3146"/>
        <w:gridCol w:w="3233"/>
      </w:tblGrid>
      <w:tr>
        <w:tc>
          <w:tcPr>
            <w:tcW w:type="dxa" w:w="7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301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(выгода)</w:t>
            </w:r>
          </w:p>
        </w:tc>
        <w:tc>
          <w:tcPr>
            <w:tcW w:type="dxa" w:w="314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323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Источники информации</w:t>
            </w:r>
          </w:p>
        </w:tc>
      </w:tr>
      <w:tr>
        <w:tc>
          <w:tcPr>
            <w:tcW w:type="dxa" w:w="7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Улучшения инфраструктуры пастбища</w:t>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Пастбищная инфраструктура улучшилась на 20%</w:t>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Профайл ОПП</w:t>
            </w:r>
          </w:p>
          <w:p>
            <w:pPr>
              <w:jc w:val="left"/>
            </w:pPr>
            <w:r>
              <w:rPr>
                <w:rFonts w:ascii="Arial" w:cs="Arial" w:eastAsia="Arial" w:hAnsi="Arial"/>
                <w:sz w:val="24"/>
                <w:szCs w:val="24"/>
              </w:rPr>
              <w:t xml:space="preserve">Результаты мониторинга (метод Радар)</w:t>
            </w:r>
          </w:p>
        </w:tc>
      </w:tr>
      <w:tr>
        <w:tc>
          <w:tcPr>
            <w:tcW w:type="dxa" w:w="7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кормовой базы</w:t>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Цены скота и животноводческой продукции выросли на 15%</w:t>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мониторинга (метод Радар)</w:t>
            </w:r>
          </w:p>
          <w:p>
            <w:pPr>
              <w:jc w:val="left"/>
            </w:pPr>
            <w:r>
              <w:rPr>
                <w:rFonts w:ascii="Arial" w:cs="Arial" w:eastAsia="Arial" w:hAnsi="Arial"/>
                <w:sz w:val="24"/>
                <w:szCs w:val="24"/>
              </w:rPr>
              <w:t xml:space="preserve">Аналитические данные рыночных цен</w:t>
            </w:r>
          </w:p>
        </w:tc>
      </w:tr>
      <w:tr>
        <w:tc>
          <w:tcPr>
            <w:tcW w:type="dxa" w:w="7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мероприятий по охране здоровья животных</w:t>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80% домохозяйствах снизился падеж среди домашних животных,</w:t>
            </w:r>
          </w:p>
          <w:p>
            <w:pPr>
              <w:jc w:val="left"/>
            </w:pPr>
            <w:r>
              <w:rPr>
                <w:rFonts w:ascii="Arial" w:cs="Arial" w:eastAsia="Arial" w:hAnsi="Arial"/>
                <w:sz w:val="24"/>
                <w:szCs w:val="24"/>
              </w:rPr>
              <w:t xml:space="preserve">Снижение уровня заболеваемости скота на 5%</w:t>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мониторинга (метод Радар)</w:t>
            </w:r>
          </w:p>
          <w:p>
            <w:pPr>
              <w:jc w:val="left"/>
            </w:pPr>
            <w:r>
              <w:rPr>
                <w:rFonts w:ascii="Arial" w:cs="Arial" w:eastAsia="Arial" w:hAnsi="Arial"/>
                <w:sz w:val="24"/>
                <w:szCs w:val="24"/>
              </w:rPr>
              <w:t xml:space="preserve">Данные ЧВ, ПОЗЖ, районной ветеринарной станции</w:t>
            </w:r>
          </w:p>
        </w:tc>
      </w:tr>
      <w:tr>
        <w:tc>
          <w:tcPr>
            <w:tcW w:type="dxa" w:w="7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участия уязвимого слоя населения при управлении пастбищными ресурсами</w:t>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молодежи, женщин, бедных семей участвуют в управлении пастбищными ресурсами</w:t>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Профайл ОПП</w:t>
            </w:r>
          </w:p>
          <w:p>
            <w:pPr>
              <w:jc w:val="left"/>
            </w:pPr>
            <w:r>
              <w:rPr>
                <w:rFonts w:ascii="Arial" w:cs="Arial" w:eastAsia="Arial" w:hAnsi="Arial"/>
                <w:sz w:val="24"/>
                <w:szCs w:val="24"/>
              </w:rPr>
              <w:t xml:space="preserve">Результаты мониторинга (метод Радар)</w:t>
            </w:r>
          </w:p>
          <w:p>
            <w:pPr>
              <w:jc w:val="left"/>
            </w:pPr>
            <w:r>
              <w:rPr>
                <w:rFonts w:ascii="Arial" w:cs="Arial" w:eastAsia="Arial" w:hAnsi="Arial"/>
                <w:sz w:val="24"/>
                <w:szCs w:val="24"/>
              </w:rPr>
              <w:t xml:space="preserve">Протоколы мероприятий ОПП</w:t>
            </w:r>
          </w:p>
        </w:tc>
      </w:tr>
      <w:tr>
        <w:tc>
          <w:tcPr>
            <w:tcW w:type="dxa" w:w="7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Повышения благосостояния – доходность населения</w:t>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домохозяйств улучшили свое питание и продовольственную безопасность</w:t>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мониторинга (метод Радар)</w:t>
            </w:r>
          </w:p>
          <w:p>
            <w:pPr>
              <w:jc w:val="left"/>
            </w:pPr>
            <w:r>
              <w:rPr>
                <w:rFonts w:ascii="Arial" w:cs="Arial" w:eastAsia="Arial" w:hAnsi="Arial"/>
                <w:sz w:val="24"/>
                <w:szCs w:val="24"/>
              </w:rPr>
              <w:t xml:space="preserve">Социально-экономические показатели АО</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Финансовый план</w:t>
      </w:r>
    </w:p>
    <w:p>
      <w:pPr>
        <w:spacing w:after="120"/>
        <w:jc w:val="both"/>
      </w:pPr>
      <w:r>
        <w:rPr>
          <w:rFonts w:ascii="Arial" w:cs="Arial" w:eastAsia="Arial" w:hAnsi="Arial"/>
          <w:sz w:val="24"/>
          <w:szCs w:val="24"/>
        </w:rPr>
        <w:t xml:space="preserve">     Финансовой план Жапалакского ТУС реализуемый через ЖК направлен на определение финансовых источников для улучшения инфраструктуры пастбищ и повышения продуктивности животноводства.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15. Финансовый перспективный план Жапалакского ОПП на 2016-2019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
        <w:gridCol w:w="4541"/>
        <w:gridCol w:w="2215"/>
        <w:gridCol w:w="1561"/>
        <w:gridCol w:w="1419"/>
      </w:tblGrid>
      <w:tr>
        <w:tc>
          <w:tcPr>
            <w:tcW w:type="dxa" w:w="4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микропроектов</w:t>
            </w:r>
          </w:p>
        </w:tc>
        <w:tc>
          <w:tcPr>
            <w:tcW w:type="dxa" w:w="22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расположение</w:t>
            </w:r>
          </w:p>
        </w:tc>
        <w:tc>
          <w:tcPr>
            <w:tcW w:type="dxa" w:w="15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(начало и конец)</w:t>
            </w:r>
          </w:p>
        </w:tc>
        <w:tc>
          <w:tcPr>
            <w:tcW w:type="dxa" w:w="1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r>
      <w:tr>
        <w:tc>
          <w:tcPr>
            <w:tcW w:type="dxa" w:w="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Ветсервис</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325000</w:t>
            </w:r>
          </w:p>
        </w:tc>
      </w:tr>
      <w:tr>
        <w:tc>
          <w:tcPr>
            <w:tcW w:type="dxa" w:w="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дорог пастбищ</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Берки-суу.Тогуз-б.</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325000</w:t>
            </w:r>
          </w:p>
        </w:tc>
      </w:tr>
      <w:tr>
        <w:tc>
          <w:tcPr>
            <w:tcW w:type="dxa" w:w="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Разделение границы Тогуз-Булак.</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Тогуз-булак</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r>
      <w:tr>
        <w:tc>
          <w:tcPr>
            <w:tcW w:type="dxa" w:w="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Раскол на пастбище Берки-суу</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Берки-суу</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w:t>
            </w:r>
          </w:p>
        </w:tc>
      </w:tr>
      <w:tr>
        <w:tc>
          <w:tcPr>
            <w:tcW w:type="dxa" w:w="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водолатков</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 (июль-август)</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r>
    </w:tbl>
    <w:p>
      <w:pPr>
        <w:spacing w:after="120"/>
        <w:jc w:val="both"/>
      </w:pPr>
      <w:r>
        <w:rPr>
          <w:rFonts w:ascii="Arial" w:cs="Arial" w:eastAsia="Arial" w:hAnsi="Arial"/>
          <w:sz w:val="24"/>
          <w:szCs w:val="24"/>
        </w:rPr>
        <w:t xml:space="preserve">Таблица 16. Финансовый инвестиционный план ЖК Жапалакского ОПП на 2017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2683"/>
        <w:gridCol w:w="1283"/>
        <w:gridCol w:w="1098"/>
        <w:gridCol w:w="1098"/>
        <w:gridCol w:w="962"/>
        <w:gridCol w:w="1189"/>
        <w:gridCol w:w="596"/>
        <w:gridCol w:w="825"/>
      </w:tblGrid>
      <w:tr>
        <w:tc>
          <w:tcPr>
            <w:tcW w:type="dxa" w:w="4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микропроектов</w:t>
            </w:r>
          </w:p>
        </w:tc>
        <w:tc>
          <w:tcPr>
            <w:tcW w:type="dxa" w:w="12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расположение</w:t>
            </w:r>
          </w:p>
        </w:tc>
        <w:tc>
          <w:tcPr>
            <w:tcW w:type="dxa" w:w="10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(начало и конец)</w:t>
            </w:r>
          </w:p>
        </w:tc>
        <w:tc>
          <w:tcPr>
            <w:tcW w:type="dxa" w:w="10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c>
          <w:tcPr>
            <w:tcW w:type="dxa" w:w="9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ЖК</w:t>
            </w:r>
          </w:p>
        </w:tc>
        <w:tc>
          <w:tcPr>
            <w:tcW w:type="dxa" w:w="1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АРИС</w:t>
            </w:r>
          </w:p>
        </w:tc>
        <w:tc>
          <w:tcPr>
            <w:tcW w:type="dxa" w:w="5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w:t>
            </w:r>
          </w:p>
        </w:tc>
        <w:tc>
          <w:tcPr>
            <w:tcW w:type="dxa" w:w="8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спон-соры</w:t>
            </w:r>
          </w:p>
        </w:tc>
      </w:tr>
      <w:tr>
        <w:tc>
          <w:tcPr>
            <w:tcW w:type="dxa" w:w="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Ветсервис</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1240000</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310000</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930 000</w:t>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дорог пастбищ.</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3250000</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123 3080</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2016920</w:t>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План мероприятия Жапалакского ПК на 2016-2019-гг. по улучшению инфраструктур на пастбищах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5"/>
        <w:gridCol w:w="4394"/>
        <w:gridCol w:w="1206"/>
        <w:gridCol w:w="1206"/>
        <w:gridCol w:w="779"/>
        <w:gridCol w:w="779"/>
        <w:gridCol w:w="709"/>
        <w:gridCol w:w="709"/>
      </w:tblGrid>
      <w:tr>
        <w:tc>
          <w:tcPr>
            <w:tcW w:type="dxa" w:w="3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3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41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tc>
        <w:tc>
          <w:tcPr>
            <w:tcW w:type="dxa" w:w="155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реализации</w:t>
            </w:r>
          </w:p>
        </w:tc>
        <w:tc>
          <w:tcPr>
            <w:tcW w:type="dxa" w:w="14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w:t>
            </w:r>
          </w:p>
        </w:tc>
      </w:tr>
      <w:tr>
        <w:tc>
          <w:tcPr>
            <w:tcW w:type="dxa" w:w="3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Жапалак Ветсерис</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198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14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325000</w:t>
            </w:r>
          </w:p>
        </w:tc>
        <w:tc>
          <w:tcPr>
            <w:tcW w:type="dxa" w:w="7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дорог пастбищ</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Берки-суу</w:t>
            </w:r>
          </w:p>
        </w:tc>
        <w:tc>
          <w:tcPr>
            <w:tcW w:type="dxa" w:w="198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14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325000</w:t>
            </w:r>
          </w:p>
        </w:tc>
        <w:tc>
          <w:tcPr>
            <w:tcW w:type="dxa" w:w="7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Разделение границ</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Тогуз-Булак</w:t>
            </w:r>
          </w:p>
        </w:tc>
        <w:tc>
          <w:tcPr>
            <w:tcW w:type="dxa" w:w="198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14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c>
          <w:tcPr>
            <w:tcW w:type="dxa" w:w="7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Строительства раскол на пастбищах.</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Берки-Суу</w:t>
            </w:r>
          </w:p>
        </w:tc>
        <w:tc>
          <w:tcPr>
            <w:tcW w:type="dxa" w:w="198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4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w:t>
            </w:r>
          </w:p>
        </w:tc>
        <w:tc>
          <w:tcPr>
            <w:tcW w:type="dxa" w:w="7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лотков</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198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 (июль-август)</w:t>
            </w:r>
          </w:p>
        </w:tc>
        <w:tc>
          <w:tcPr>
            <w:tcW w:type="dxa" w:w="14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7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Строительства водоема Берки-суу.</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Берки-суу</w:t>
            </w:r>
          </w:p>
        </w:tc>
        <w:tc>
          <w:tcPr>
            <w:tcW w:type="dxa" w:w="198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4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7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 Список пастбищепользователей</w:t>
      </w:r>
    </w:p>
    <w:p>
      <w:pPr>
        <w:spacing w:after="120"/>
        <w:jc w:val="both"/>
      </w:pPr>
      <w:r>
        <w:rPr>
          <w:rFonts w:ascii="Arial" w:cs="Arial" w:eastAsia="Arial" w:hAnsi="Arial"/>
          <w:sz w:val="24"/>
          <w:szCs w:val="24"/>
        </w:rPr>
        <w:t xml:space="preserve">Жапалакского ТУС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6"/>
        <w:gridCol w:w="2614"/>
        <w:gridCol w:w="1658"/>
        <w:gridCol w:w="1505"/>
        <w:gridCol w:w="1450"/>
        <w:gridCol w:w="1026"/>
        <w:gridCol w:w="1319"/>
      </w:tblGrid>
      <w:tr>
        <w:tc>
          <w:tcPr>
            <w:tcW w:type="dxa" w:w="60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26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w:t>
            </w:r>
          </w:p>
        </w:tc>
        <w:tc>
          <w:tcPr>
            <w:tcW w:type="dxa" w:w="165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КРС</w:t>
            </w:r>
          </w:p>
        </w:tc>
        <w:tc>
          <w:tcPr>
            <w:tcW w:type="dxa" w:w="150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Овцы-козы</w:t>
            </w:r>
          </w:p>
        </w:tc>
        <w:tc>
          <w:tcPr>
            <w:tcW w:type="dxa" w:w="14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Лошади</w:t>
            </w:r>
          </w:p>
        </w:tc>
        <w:tc>
          <w:tcPr>
            <w:tcW w:type="dxa" w:w="102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Яки</w:t>
            </w:r>
          </w:p>
        </w:tc>
        <w:tc>
          <w:tcPr>
            <w:tcW w:type="dxa" w:w="131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 УГ</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Атмуратов Г.</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Суркеев Ч.</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Шороев К.</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Пазылов Р.</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Темирбаев 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Осоев Р.</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Эргешов Т.</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Адылов Р.</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Калыкулов М.</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Балтабаев Ж.</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Омурзаков 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Жороев Т.</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Эркебаев К.</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Бекташов Т.</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Гадиев Н.</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38,6</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Жороев С.</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Максутов К.</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Досуев 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Арапбаев У.</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Манасов Х.</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Абсаматов Б.</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Кочкоров С.</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Ракбаров 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Орозалиев Т.</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Батыров 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Исмаилов Ж.</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Жолонов М.</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r>
      <w:tr>
        <w:tc>
          <w:tcPr>
            <w:tcW w:type="dxa" w:w="606"/>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29</w:t>
            </w:r>
          </w:p>
        </w:tc>
        <w:tc>
          <w:tcPr>
            <w:tcW w:type="dxa" w:w="261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Султанбеков К.</w:t>
            </w:r>
          </w:p>
        </w:tc>
        <w:tc>
          <w:tcPr>
            <w:tcW w:type="dxa" w:w="165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15</w:t>
            </w:r>
          </w:p>
        </w:tc>
        <w:tc>
          <w:tcPr>
            <w:tcW w:type="dxa" w:w="150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210</w:t>
            </w:r>
          </w:p>
        </w:tc>
        <w:tc>
          <w:tcPr>
            <w:tcW w:type="dxa" w:w="145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7</w:t>
            </w:r>
          </w:p>
        </w:tc>
        <w:tc>
          <w:tcPr>
            <w:tcW w:type="dxa" w:w="102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64</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Баатыров Э.</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Аданов 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375</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Солиев З.</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54,6</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Беренов 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Исмаилдов Т.</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Султанов 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Мамытов 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Калыев 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Аданбаев 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Аданбаев 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Калбаев К.</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w:t>
            </w:r>
          </w:p>
        </w:tc>
      </w:tr>
      <w:tr>
        <w:tc>
          <w:tcPr>
            <w:tcW w:type="dxa" w:w="60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26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Омонов К.</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w:t>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w:t>
            </w:r>
          </w:p>
        </w:tc>
      </w:tr>
      <w:tr>
        <w:tc>
          <w:tcPr>
            <w:tcW w:type="dxa" w:w="3220"/>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2025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Внутренние правила</w:t>
      </w:r>
    </w:p>
    <w:p>
      <w:pPr>
        <w:spacing w:after="120"/>
        <w:jc w:val="both"/>
      </w:pPr>
      <w:r>
        <w:rPr>
          <w:rFonts w:ascii="Arial" w:cs="Arial" w:eastAsia="Arial" w:hAnsi="Arial"/>
          <w:sz w:val="24"/>
          <w:szCs w:val="24"/>
        </w:rPr>
        <w:t xml:space="preserve">в соответствии утвержденного плана по управлению пастбищами на 2017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-Пастбищный сезон начинается с 1 апреля.</w:t>
      </w:r>
    </w:p>
    <w:p>
      <w:pPr>
        <w:spacing w:after="120"/>
        <w:jc w:val="both"/>
      </w:pPr>
      <w:r>
        <w:rPr>
          <w:rFonts w:ascii="Arial" w:cs="Arial" w:eastAsia="Arial" w:hAnsi="Arial"/>
          <w:sz w:val="24"/>
          <w:szCs w:val="24"/>
        </w:rPr>
        <w:t xml:space="preserve">-Окончания пастбищного сезона 30 октября.</w:t>
      </w:r>
    </w:p>
    <w:p>
      <w:pPr>
        <w:spacing w:after="120"/>
        <w:jc w:val="both"/>
      </w:pPr>
      <w:r>
        <w:rPr>
          <w:rFonts w:ascii="Arial" w:cs="Arial" w:eastAsia="Arial" w:hAnsi="Arial"/>
          <w:sz w:val="24"/>
          <w:szCs w:val="24"/>
        </w:rPr>
        <w:t xml:space="preserve">-Перемещения фермеров на весенние (средние) пастбища с 1 до 10 мая.</w:t>
      </w:r>
    </w:p>
    <w:p>
      <w:pPr>
        <w:spacing w:after="120"/>
        <w:jc w:val="both"/>
      </w:pPr>
      <w:r>
        <w:rPr>
          <w:rFonts w:ascii="Arial" w:cs="Arial" w:eastAsia="Arial" w:hAnsi="Arial"/>
          <w:sz w:val="24"/>
          <w:szCs w:val="24"/>
        </w:rPr>
        <w:t xml:space="preserve">-Перемещения фермеров на летние пастбища с 25 до 30 мая.</w:t>
      </w:r>
    </w:p>
    <w:p>
      <w:pPr>
        <w:spacing w:after="120"/>
        <w:jc w:val="both"/>
      </w:pPr>
      <w:r>
        <w:rPr>
          <w:rFonts w:ascii="Arial" w:cs="Arial" w:eastAsia="Arial" w:hAnsi="Arial"/>
          <w:sz w:val="24"/>
          <w:szCs w:val="24"/>
        </w:rPr>
        <w:t xml:space="preserve">-Возвращение на осенние пастбища к 1 октябрю.</w:t>
      </w:r>
    </w:p>
    <w:p>
      <w:pPr>
        <w:spacing w:after="120"/>
        <w:jc w:val="both"/>
      </w:pPr>
      <w:r>
        <w:rPr>
          <w:rFonts w:ascii="Arial" w:cs="Arial" w:eastAsia="Arial" w:hAnsi="Arial"/>
          <w:sz w:val="24"/>
          <w:szCs w:val="24"/>
        </w:rPr>
        <w:t xml:space="preserve">-Те, кто вернулся раньше времени с отгонных пастбищ на осенние выплачивают штраф на 1 голову КРС-250 сом, МРС-50 сом и дается письменное уведомление о возврате на покинутые пастбища в течение 1 сутки.</w:t>
      </w:r>
    </w:p>
    <w:p>
      <w:pPr>
        <w:spacing w:after="120"/>
        <w:jc w:val="both"/>
      </w:pPr>
      <w:r>
        <w:rPr>
          <w:rFonts w:ascii="Arial" w:cs="Arial" w:eastAsia="Arial" w:hAnsi="Arial"/>
          <w:sz w:val="24"/>
          <w:szCs w:val="24"/>
        </w:rPr>
        <w:t xml:space="preserve">-С 20 апреля все, кто находится вблизи с посевными площадями должны уйти на весенние пастбища.</w:t>
      </w:r>
    </w:p>
    <w:p>
      <w:pPr>
        <w:spacing w:after="120"/>
        <w:jc w:val="both"/>
      </w:pPr>
      <w:r>
        <w:rPr>
          <w:rFonts w:ascii="Arial" w:cs="Arial" w:eastAsia="Arial" w:hAnsi="Arial"/>
          <w:sz w:val="24"/>
          <w:szCs w:val="24"/>
        </w:rPr>
        <w:t xml:space="preserve">-С 20 апреля для выпаса дойного стада организуется пастьба.</w:t>
      </w:r>
    </w:p>
    <w:p>
      <w:pPr>
        <w:spacing w:after="120"/>
        <w:jc w:val="both"/>
      </w:pPr>
      <w:r>
        <w:rPr>
          <w:rFonts w:ascii="Arial" w:cs="Arial" w:eastAsia="Arial" w:hAnsi="Arial"/>
          <w:sz w:val="24"/>
          <w:szCs w:val="24"/>
        </w:rPr>
        <w:t xml:space="preserve">-Внутри аила могут оставаться 1 рабочая лощадь, 2 дойных коровы, 3-5 овец, остальные животные отправить на пастбища.</w:t>
      </w:r>
    </w:p>
    <w:p>
      <w:pPr>
        <w:spacing w:after="120"/>
        <w:jc w:val="both"/>
      </w:pPr>
      <w:r>
        <w:rPr>
          <w:rFonts w:ascii="Arial" w:cs="Arial" w:eastAsia="Arial" w:hAnsi="Arial"/>
          <w:sz w:val="24"/>
          <w:szCs w:val="24"/>
        </w:rPr>
        <w:t xml:space="preserve">-Если внутри аила остаются более 2 голов МРС будут приниматься следующие меры:</w:t>
      </w:r>
    </w:p>
    <w:p>
      <w:pPr>
        <w:spacing w:after="120"/>
        <w:jc w:val="both"/>
      </w:pPr>
      <w:r>
        <w:rPr>
          <w:rFonts w:ascii="Arial" w:cs="Arial" w:eastAsia="Arial" w:hAnsi="Arial"/>
          <w:sz w:val="24"/>
          <w:szCs w:val="24"/>
        </w:rPr>
        <w:t xml:space="preserve">Постановлением общего собрания и решением суда аксакалов будет налагаться штраф в размере 500 сом за голову;</w:t>
      </w:r>
    </w:p>
    <w:p>
      <w:pPr>
        <w:spacing w:after="120"/>
        <w:jc w:val="both"/>
      </w:pPr>
      <w:r>
        <w:rPr>
          <w:rFonts w:ascii="Arial" w:cs="Arial" w:eastAsia="Arial" w:hAnsi="Arial"/>
          <w:sz w:val="24"/>
          <w:szCs w:val="24"/>
        </w:rPr>
        <w:t xml:space="preserve">Хозяевам животных, чьи животные заходят на посевные площади будут применяться следующие штрафные санкции:</w:t>
      </w:r>
    </w:p>
    <w:p>
      <w:pPr>
        <w:spacing w:after="120"/>
        <w:jc w:val="both"/>
      </w:pPr>
      <w:r>
        <w:rPr>
          <w:rFonts w:ascii="Arial" w:cs="Arial" w:eastAsia="Arial" w:hAnsi="Arial"/>
          <w:sz w:val="24"/>
          <w:szCs w:val="24"/>
        </w:rPr>
        <w:t xml:space="preserve">Если до 10 апреля животные заходят на посевные площади-предупреждение;</w:t>
      </w:r>
    </w:p>
    <w:p>
      <w:pPr>
        <w:spacing w:after="120"/>
        <w:jc w:val="both"/>
      </w:pPr>
      <w:r>
        <w:rPr>
          <w:rFonts w:ascii="Arial" w:cs="Arial" w:eastAsia="Arial" w:hAnsi="Arial"/>
          <w:sz w:val="24"/>
          <w:szCs w:val="24"/>
        </w:rPr>
        <w:t xml:space="preserve">Если животные заходят на посевы после 10 апреля: Для КРС 1-раз штраф 200 сом, второй раз-500 сом, для МРС 1-й раз 20 сом, второй-100 сом, а если животные все равно зоходят, тогда подсчитывается ущерб и дело передается в суд аксакалов и через суд налагается штраф;</w:t>
      </w:r>
    </w:p>
    <w:p>
      <w:pPr>
        <w:spacing w:after="120"/>
        <w:jc w:val="both"/>
      </w:pPr>
      <w:r>
        <w:rPr>
          <w:rFonts w:ascii="Arial" w:cs="Arial" w:eastAsia="Arial" w:hAnsi="Arial"/>
          <w:sz w:val="24"/>
          <w:szCs w:val="24"/>
        </w:rPr>
        <w:t xml:space="preserve">Если без пастбищного билета и заходят на посевные площади: для КРС штраф 500 сом, для МРС штраф 200 сом но одну голову скота, в случае отказа оплаты штрафа дело передается в суд;</w:t>
      </w:r>
    </w:p>
    <w:p>
      <w:pPr>
        <w:spacing w:after="120"/>
        <w:jc w:val="both"/>
      </w:pPr>
      <w:r>
        <w:rPr>
          <w:rFonts w:ascii="Arial" w:cs="Arial" w:eastAsia="Arial" w:hAnsi="Arial"/>
          <w:sz w:val="24"/>
          <w:szCs w:val="24"/>
        </w:rPr>
        <w:t xml:space="preserve">Если по пастбищным билетам своевременно не оплачивается налог в назначенный срок, они несут ответственность в соответствии с Законом о налогового кодекса КР, то дело передается в суд;</w:t>
      </w:r>
    </w:p>
    <w:p>
      <w:pPr>
        <w:spacing w:after="120"/>
        <w:jc w:val="both"/>
      </w:pPr>
      <w:r>
        <w:rPr>
          <w:rFonts w:ascii="Arial" w:cs="Arial" w:eastAsia="Arial" w:hAnsi="Arial"/>
          <w:sz w:val="24"/>
          <w:szCs w:val="24"/>
        </w:rPr>
        <w:t xml:space="preserve">Если животные, кроме животных членов Жапалакского ОПП заходят на посевные площади-налог будет оплачиваться в двойном размере утвержденной Ошским городским Кенешом.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Ошского городского Кенеша</w:t>
      </w:r>
      <w:r>
        <w:rPr>
          <w:rFonts w:ascii="Arial" w:cs="Arial" w:eastAsia="Arial" w:hAnsi="Arial"/>
          <w:sz w:val="24"/>
          <w:szCs w:val="24"/>
        </w:rPr>
        <w:t xml:space="preserve">	</w:t>
      </w:r>
      <w:r>
        <w:rPr>
          <w:rFonts w:ascii="Arial" w:cs="Arial" w:eastAsia="Arial" w:hAnsi="Arial"/>
          <w:b/>
          <w:bCs/>
          <w:sz w:val="28"/>
          <w:szCs w:val="28"/>
        </w:rPr>
        <w:t xml:space="preserve">С.Маматалиева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right"/>
      </w:pPr>
      <w:r>
        <w:rPr>
          <w:rFonts w:ascii="Arial" w:cs="Arial" w:eastAsia="Arial" w:hAnsi="Arial"/>
          <w:sz w:val="24"/>
          <w:szCs w:val="24"/>
        </w:rPr>
        <w:t xml:space="preserve">к </w:t>
      </w:r>
      <w:hyperlink w:history="1" r:id="rIdboeexodck0ojyt5ajhlxp">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 98 очередной</w:t>
      </w:r>
    </w:p>
    <w:p>
      <w:pPr>
        <w:spacing w:after="120"/>
        <w:jc w:val="right"/>
      </w:pPr>
      <w:r>
        <w:rPr>
          <w:rFonts w:ascii="Arial" w:cs="Arial" w:eastAsia="Arial" w:hAnsi="Arial"/>
          <w:sz w:val="24"/>
          <w:szCs w:val="24"/>
        </w:rPr>
        <w:t xml:space="preserve">X сессии (IV созыв) Ошского</w:t>
      </w:r>
    </w:p>
    <w:p>
      <w:pPr>
        <w:spacing w:after="120"/>
        <w:jc w:val="right"/>
      </w:pPr>
      <w:r>
        <w:rPr>
          <w:rFonts w:ascii="Arial" w:cs="Arial" w:eastAsia="Arial" w:hAnsi="Arial"/>
          <w:sz w:val="24"/>
          <w:szCs w:val="24"/>
        </w:rPr>
        <w:t xml:space="preserve">городского Кенеша от</w:t>
      </w:r>
    </w:p>
    <w:p>
      <w:pPr>
        <w:spacing w:after="120"/>
        <w:jc w:val="right"/>
      </w:pPr>
      <w:r>
        <w:rPr>
          <w:rFonts w:ascii="Arial" w:cs="Arial" w:eastAsia="Arial" w:hAnsi="Arial"/>
          <w:sz w:val="24"/>
          <w:szCs w:val="24"/>
        </w:rPr>
        <w:t xml:space="preserve"> 26 декабря 2017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Бюджет Пастбищного комитета Жапалакского УАА на 2017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44"/>
        <w:gridCol w:w="1933"/>
        <w:gridCol w:w="1725"/>
        <w:gridCol w:w="2677"/>
      </w:tblGrid>
      <w:tr>
        <w:tc>
          <w:tcPr>
            <w:tcW w:type="dxa" w:w="38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Доходная часть</w:t>
            </w:r>
          </w:p>
        </w:tc>
        <w:tc>
          <w:tcPr>
            <w:tcW w:type="dxa" w:w="19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84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Расходы</w:t>
            </w:r>
          </w:p>
        </w:tc>
        <w:tc>
          <w:tcPr>
            <w:tcW w:type="dxa" w:w="193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Сумма ставки, сом</w:t>
            </w:r>
          </w:p>
        </w:tc>
        <w:tc>
          <w:tcPr>
            <w:tcW w:type="dxa" w:w="172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p>
        </w:tc>
        <w:tc>
          <w:tcPr>
            <w:tcW w:type="dxa" w:w="26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Общая сумма</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КРС 1 голова</w:t>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1225</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153125</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МРС 1 голова</w:t>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2800</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Лошади 1 голова</w:t>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Сенакос 1га</w:t>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500 </w:t>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Пашня 1 га</w:t>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w:t>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Иток</w:t>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279125</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8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Расходная часть</w:t>
            </w:r>
          </w:p>
        </w:tc>
        <w:tc>
          <w:tcPr>
            <w:tcW w:type="dxa" w:w="19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84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Налог2281га Х 1,04</w:t>
            </w:r>
          </w:p>
        </w:tc>
        <w:tc>
          <w:tcPr>
            <w:tcW w:type="dxa" w:w="193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13.50</w:t>
            </w:r>
          </w:p>
        </w:tc>
        <w:tc>
          <w:tcPr>
            <w:tcW w:type="dxa" w:w="172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2372</w:t>
            </w:r>
          </w:p>
        </w:tc>
        <w:tc>
          <w:tcPr>
            <w:tcW w:type="dxa" w:w="2677"/>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Бухгалтер</w:t>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3500</w:t>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Зарплата Ж К</w:t>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Соц. фонд 17,25% от суммы з/п</w:t>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3450</w:t>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12 </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Конц,тов,</w:t>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w:t>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Транспортные расходы</w:t>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20000</w:t>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Командиров. Расход.</w:t>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5000</w:t>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Разн.расход,</w:t>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15000</w:t>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 развитие пастбища</w:t>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72625</w:t>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72625</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w:t>
            </w:r>
          </w:p>
        </w:tc>
        <w:tc>
          <w:tcPr>
            <w:tcW w:type="dxa" w:w="1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279125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Жапалакского ПК состоит из сборов платы за использование пастбищ. До этого учет поголовья скота проводился только у чабанов, которые пасут скот населения. Представители ПК уверены, что фактическое количество скота превышает используемые данные по количеству скота. Поэтому в 2017 году ПК планирует провести учңт поголовья скота в каждом домохозяйстве. Тем самым будет известно фактическое количество скота, что положительно отразится на плате за использование пастбищ. Но ПК верит в то, что полностью соберңт сумму оплаты, если он будет собирать оплату из каждого скотовладельца, посетив их по каждому двору. Тогда бюджет ПК будет реальным. Если ПК не сможет собрать запланированную сумму, то осуществит запланированные инфраструктурные мероприятия за счңт финансовых средств из сбора за пастбище, поступлений из охотсоюза.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Ошского</w:t>
      </w:r>
      <w:r>
        <w:rPr>
          <w:rFonts w:ascii="Arial" w:cs="Arial" w:eastAsia="Arial" w:hAnsi="Arial"/>
          <w:sz w:val="24"/>
          <w:szCs w:val="24"/>
        </w:rPr>
        <w:t xml:space="preserve">	</w:t>
      </w:r>
      <w:r>
        <w:rPr>
          <w:rFonts w:ascii="Arial" w:cs="Arial" w:eastAsia="Arial" w:hAnsi="Arial"/>
          <w:b/>
          <w:bCs/>
          <w:sz w:val="24"/>
          <w:szCs w:val="24"/>
        </w:rPr>
        <w:t xml:space="preserve">С.Маматалиева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Ош шаардык Кеңешинин 2017-жылдын 26-декабрындагы</w:t>
      </w:r>
    </w:p>
    <w:p>
      <w:pPr>
        <w:spacing w:after="120"/>
        <w:jc w:val="right"/>
      </w:pPr>
      <w:r>
        <w:rPr>
          <w:rFonts w:ascii="Arial" w:cs="Arial" w:eastAsia="Arial" w:hAnsi="Arial"/>
          <w:sz w:val="24"/>
          <w:szCs w:val="24"/>
        </w:rPr>
        <w:t xml:space="preserve">кезектеги X сессиясынын</w:t>
      </w:r>
    </w:p>
    <w:p>
      <w:pPr>
        <w:spacing w:after="120"/>
        <w:jc w:val="right"/>
      </w:pPr>
      <w:r>
        <w:rPr>
          <w:rFonts w:ascii="Arial" w:cs="Arial" w:eastAsia="Arial" w:hAnsi="Arial"/>
          <w:sz w:val="24"/>
          <w:szCs w:val="24"/>
        </w:rPr>
        <w:t xml:space="preserve">(IV чакырылыш) №98 </w:t>
      </w:r>
      <w:hyperlink w:history="1" r:id="rIdketgtkxanq0li_b4xnluz">
        <w:r>
          <w:rPr>
            <w:rFonts w:ascii="Arial" w:cs="Arial" w:eastAsia="Arial" w:hAnsi="Arial"/>
            <w:color w:val="1D4ED8"/>
            <w:sz w:val="24"/>
            <w:szCs w:val="24"/>
            <w:u w:val="single"/>
          </w:rPr>
          <w:t xml:space="preserve">токтомуна</w:t>
        </w:r>
      </w:hyperlink>
      <w:r>
        <w:rPr>
          <w:rFonts w:ascii="Arial" w:cs="Arial" w:eastAsia="Arial" w:hAnsi="Arial"/>
          <w:sz w:val="24"/>
          <w:szCs w:val="24"/>
        </w:rPr>
        <w:t xml:space="preserve">№3 тиркеме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Жайыттарды башкаруу жана пайдалануу ыйгарым укуктарын</w:t>
      </w:r>
    </w:p>
    <w:p>
      <w:pPr>
        <w:spacing w:after="120"/>
        <w:jc w:val="both"/>
      </w:pPr>
      <w:r>
        <w:rPr>
          <w:rFonts w:ascii="Arial" w:cs="Arial" w:eastAsia="Arial" w:hAnsi="Arial"/>
          <w:sz w:val="24"/>
          <w:szCs w:val="24"/>
        </w:rPr>
        <w:t xml:space="preserve">Жергиликтүү өз алдынча башкаруу органдарынан</w:t>
      </w:r>
    </w:p>
    <w:p>
      <w:pPr>
        <w:spacing w:after="120"/>
        <w:jc w:val="both"/>
      </w:pPr>
      <w:r>
        <w:rPr>
          <w:rFonts w:ascii="Arial" w:cs="Arial" w:eastAsia="Arial" w:hAnsi="Arial"/>
          <w:sz w:val="24"/>
          <w:szCs w:val="24"/>
        </w:rPr>
        <w:t xml:space="preserve">Жайыт пайдалануучулар бирикмесине өткөрүп берүү жөнүндө</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ТИПТҮҮ КЕЛИШИМИ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Жапалак айылы, Ош шаары           "___" _________________ _____ 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Ош шаардык Кеңешинин № 98 токтомунун негизинде иш жүргүзгөн Жапалак айылдык аймактык башкармалыгынын башчысы _______________________________________________________________________ аркылуу, (фамилиясы, аты, атасынын аты)</w:t>
      </w:r>
    </w:p>
    <w:p>
      <w:pPr>
        <w:spacing w:after="120"/>
        <w:jc w:val="both"/>
      </w:pPr>
      <w:r>
        <w:rPr>
          <w:rFonts w:ascii="Arial" w:cs="Arial" w:eastAsia="Arial" w:hAnsi="Arial"/>
          <w:sz w:val="24"/>
          <w:szCs w:val="24"/>
        </w:rPr>
        <w:t xml:space="preserve">мындан ары «Жергиликтүү өз алдынча башкаруу органы», бир жагынан, жана жайыт пайдалануучулар бирикмесинин Уставынын негизинде иш жүргүзгөн Жайыт комитетинин төрагасы______________________________________________________________</w:t>
      </w:r>
    </w:p>
    <w:p>
      <w:pPr>
        <w:spacing w:after="120"/>
        <w:jc w:val="both"/>
      </w:pPr>
      <w:r>
        <w:rPr>
          <w:rFonts w:ascii="Arial" w:cs="Arial" w:eastAsia="Arial" w:hAnsi="Arial"/>
          <w:sz w:val="24"/>
          <w:szCs w:val="24"/>
        </w:rPr>
        <w:t xml:space="preserve">(фамилиясы, аты, атасынын аты)</w:t>
      </w:r>
    </w:p>
    <w:p>
      <w:pPr>
        <w:spacing w:after="120"/>
        <w:jc w:val="both"/>
      </w:pPr>
      <w:r>
        <w:rPr>
          <w:rFonts w:ascii="Arial" w:cs="Arial" w:eastAsia="Arial" w:hAnsi="Arial"/>
          <w:sz w:val="24"/>
          <w:szCs w:val="24"/>
        </w:rPr>
        <w:t xml:space="preserve">аркылуу, Ош шаарынын Жапалак айылдык аймактык башкармалыгынын «Жайыт пайдалануучулар бирикмеси», экинчи жагынан тъмънк\ келишимди т\зд\к: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Келишимдин предмети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Ош шаарынын Жапалак айылдык аймактык башкармалыгынын Жергиликтүү өз алдынча аткаруу органы жайыттарды башкаруу жана пайдалануу ыйгарым укуктарын Жайыт пайдалануучулар бирикмесине өткөрүп берет.</w:t>
      </w:r>
    </w:p>
    <w:p>
      <w:pPr>
        <w:spacing w:after="120"/>
        <w:jc w:val="both"/>
      </w:pPr>
      <w:r>
        <w:rPr>
          <w:rFonts w:ascii="Arial" w:cs="Arial" w:eastAsia="Arial" w:hAnsi="Arial"/>
          <w:sz w:val="24"/>
          <w:szCs w:val="24"/>
        </w:rPr>
        <w:t xml:space="preserve">Жайыт жерлердин жалпы аянты: _________________________________________________________________________</w:t>
      </w:r>
    </w:p>
    <w:p>
      <w:pPr>
        <w:spacing w:after="120"/>
        <w:jc w:val="both"/>
      </w:pPr>
      <w:r>
        <w:rPr>
          <w:rFonts w:ascii="Arial" w:cs="Arial" w:eastAsia="Arial" w:hAnsi="Arial"/>
          <w:sz w:val="24"/>
          <w:szCs w:val="24"/>
        </w:rPr>
        <w:t xml:space="preserve">Жайыттын түрү жана аянты _________________________________________________________________________</w:t>
      </w:r>
    </w:p>
    <w:p>
      <w:pPr>
        <w:spacing w:after="120"/>
        <w:jc w:val="both"/>
      </w:pPr>
      <w:r>
        <w:rPr>
          <w:rFonts w:ascii="Arial" w:cs="Arial" w:eastAsia="Arial" w:hAnsi="Arial"/>
          <w:sz w:val="24"/>
          <w:szCs w:val="24"/>
        </w:rPr>
        <w:t xml:space="preserve">Жайыт участокторунун жайгашкан орду ___________________________________</w:t>
      </w:r>
    </w:p>
    <w:p>
      <w:pPr>
        <w:spacing w:after="120"/>
        <w:jc w:val="both"/>
      </w:pPr>
      <w:r>
        <w:rPr>
          <w:rFonts w:ascii="Arial" w:cs="Arial" w:eastAsia="Arial" w:hAnsi="Arial"/>
          <w:sz w:val="24"/>
          <w:szCs w:val="24"/>
        </w:rPr>
        <w:t xml:space="preserve">- Жайыт инфраструктурасынын объектилеринин кабыл алуу-өткөрүү актылары (Типтүү келишимдин №2 Тиркемеси) (чабандардын үйү, кой короолор, мал айдап өтө турган жолдор, көпүрөлөр, купкалар) (жайыт инфраструктуралары бар болгондо кабыл алуу-өткөрүү актысы таризделет).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Тараптардын укуктары жана милдеттери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Жергиликтүү өз алдынча органдарын укуктары:</w:t>
      </w:r>
    </w:p>
    <w:p>
      <w:pPr>
        <w:spacing w:after="120"/>
        <w:jc w:val="both"/>
      </w:pPr>
      <w:r>
        <w:rPr>
          <w:rFonts w:ascii="Arial" w:cs="Arial" w:eastAsia="Arial" w:hAnsi="Arial"/>
          <w:sz w:val="24"/>
          <w:szCs w:val="24"/>
        </w:rPr>
        <w:t xml:space="preserve">1.2.1. Жергиликтүү өз алдынча башкаруунун аткаруучу органы – айыл өкмөтү төмөнкүлөргө укуктуу:</w:t>
      </w:r>
    </w:p>
    <w:p>
      <w:pPr>
        <w:spacing w:after="120"/>
        <w:jc w:val="both"/>
      </w:pPr>
      <w:r>
        <w:rPr>
          <w:rFonts w:ascii="Arial" w:cs="Arial" w:eastAsia="Arial" w:hAnsi="Arial"/>
          <w:sz w:val="24"/>
          <w:szCs w:val="24"/>
        </w:rPr>
        <w:t xml:space="preserve">- Жайыт пайдалануучулар бирикмеси тарабынан жайыттарды башкаруу жана пайдалануу ыйгарым укуктарынын Кыргыз Республикасынын мыйзамдарына жана жайыттарды жамааттык башкаруу жана пайдалануу планына, жайыттарды пайдалануунун жылдык планына ылайык аткарылышын, жана ошондой эле бул максатта берилген финансылык, материалдык жана башка каражаттардын пайдаланылышын көзөмөлдөөгө;</w:t>
      </w:r>
    </w:p>
    <w:p>
      <w:pPr>
        <w:spacing w:after="120"/>
        <w:jc w:val="both"/>
      </w:pPr>
      <w:r>
        <w:rPr>
          <w:rFonts w:ascii="Arial" w:cs="Arial" w:eastAsia="Arial" w:hAnsi="Arial"/>
          <w:sz w:val="24"/>
          <w:szCs w:val="24"/>
        </w:rPr>
        <w:t xml:space="preserve">- Жайыт пайдалануучулар бирикмеси жайыттарды башкаруу жана пайдалануу ыйгарым укуктарын аткаруу учурунда кетирген мыйзам бузууларды жоюу боюнча жазуу жүзүндө эскертүү берүүгө;</w:t>
      </w:r>
    </w:p>
    <w:p>
      <w:pPr>
        <w:spacing w:after="120"/>
        <w:jc w:val="both"/>
      </w:pPr>
      <w:r>
        <w:rPr>
          <w:rFonts w:ascii="Arial" w:cs="Arial" w:eastAsia="Arial" w:hAnsi="Arial"/>
          <w:sz w:val="24"/>
          <w:szCs w:val="24"/>
        </w:rPr>
        <w:t xml:space="preserve">- Жайыт пайдалануучулар бирикмесинен жайыттарды башкаруу жана пайдалануу ыйгарым укуктарын аткаруу боюнча маалымат, материалдарды жана документтерди талап кылууга;</w:t>
      </w:r>
    </w:p>
    <w:p>
      <w:pPr>
        <w:spacing w:after="120"/>
        <w:jc w:val="both"/>
      </w:pPr>
      <w:r>
        <w:rPr>
          <w:rFonts w:ascii="Arial" w:cs="Arial" w:eastAsia="Arial" w:hAnsi="Arial"/>
          <w:sz w:val="24"/>
          <w:szCs w:val="24"/>
        </w:rPr>
        <w:t xml:space="preserve">- Жайыттарды башкаруу жана пайдалануу ыйгарым укуктарын аткаруунун жыйынтыктары жана материалдык, финансылык жана башка каражаттарды пайдалануу боюнча маалыматтарды берүү максатында Жайыт пайдалануучулар бирикмесинин отчетторунун формасын бекитүүгө;</w:t>
      </w:r>
    </w:p>
    <w:p>
      <w:pPr>
        <w:spacing w:after="120"/>
        <w:jc w:val="both"/>
      </w:pPr>
      <w:r>
        <w:rPr>
          <w:rFonts w:ascii="Arial" w:cs="Arial" w:eastAsia="Arial" w:hAnsi="Arial"/>
          <w:sz w:val="24"/>
          <w:szCs w:val="24"/>
        </w:rPr>
        <w:t xml:space="preserve">- Жайыт пайдалануучулар бирикмесине жайыттарды башкаруу жана пайдалануу ыйгарым укуктарын аткаруу үчүн берилген, бирок максаттуу эмес пайдаланылган каражаттарды белгиленген тартипте өндүрүп алууга;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Жергиликтүү өз алдынча башкаруунун өкүлчүлүктүү органы – жергиликтүү кеңештин укуктары: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Милдеттүү түрдө аткарылуучу жайыттарды башкаруу жана пайдалануу боюнча ыйгарылган укуктардын аткарылышы боюнча аткаруу актыларын өзүнүн компетенциясынын чегинде кабыл алуу;</w:t>
      </w:r>
    </w:p>
    <w:p>
      <w:pPr>
        <w:spacing w:after="120"/>
        <w:jc w:val="both"/>
      </w:pPr>
      <w:r>
        <w:rPr>
          <w:rFonts w:ascii="Arial" w:cs="Arial" w:eastAsia="Arial" w:hAnsi="Arial"/>
          <w:sz w:val="24"/>
          <w:szCs w:val="24"/>
        </w:rPr>
        <w:t xml:space="preserve">- Жайыт пайдалануучулар бирикмесинен жайыттарды пайдаланууда мыйзам бузууларды, жайыттарды жамааттык башкаруу жана пайдалануу планын жана жылдык планды бузууларды жоюуну талап кылуу;</w:t>
      </w:r>
    </w:p>
    <w:p>
      <w:pPr>
        <w:spacing w:after="120"/>
        <w:jc w:val="both"/>
      </w:pPr>
      <w:r>
        <w:rPr>
          <w:rFonts w:ascii="Arial" w:cs="Arial" w:eastAsia="Arial" w:hAnsi="Arial"/>
          <w:sz w:val="24"/>
          <w:szCs w:val="24"/>
        </w:rPr>
        <w:t xml:space="preserve">- Жайыт пайдалануучулар бирикмесинен жайыттарды башкаруу жана пайдалануу боюнча ыйгарылган укуктардын аткарылышына байланыштуу маалымат, материалдарды жана документтерди талап кылуу.</w:t>
      </w:r>
    </w:p>
    <w:p>
      <w:pPr>
        <w:spacing w:after="120"/>
        <w:jc w:val="both"/>
      </w:pPr>
      <w:r>
        <w:rPr>
          <w:rFonts w:ascii="Arial" w:cs="Arial" w:eastAsia="Arial" w:hAnsi="Arial"/>
          <w:sz w:val="24"/>
          <w:szCs w:val="24"/>
        </w:rPr>
        <w:t xml:space="preserve">- Жайыт пайдалануучулар бирикмесине жайыттарды башкаруу жана пайдалануу, жайыттарды жана жайыт инфраструктурасын жакшыртуу жана сактоо боюнча алдыңкы методдорду колдонууну сунуштоо;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Жергиликтүү өз алдынча органдардын милдеттери</w:t>
      </w:r>
    </w:p>
    <w:p>
      <w:pPr>
        <w:spacing w:after="120"/>
        <w:jc w:val="both"/>
      </w:pPr>
      <w:r>
        <w:rPr>
          <w:rFonts w:ascii="Arial" w:cs="Arial" w:eastAsia="Arial" w:hAnsi="Arial"/>
          <w:sz w:val="24"/>
          <w:szCs w:val="24"/>
        </w:rPr>
        <w:t xml:space="preserve">2.2.1. Жергиликтүү өзалдынча башкаруунун өкүлчүлүктүү органы – айылдык аймактык башкармалыктын милдеттери:</w:t>
      </w:r>
    </w:p>
    <w:p>
      <w:pPr>
        <w:spacing w:after="120"/>
        <w:jc w:val="both"/>
      </w:pPr>
      <w:r>
        <w:rPr>
          <w:rFonts w:ascii="Arial" w:cs="Arial" w:eastAsia="Arial" w:hAnsi="Arial"/>
          <w:sz w:val="24"/>
          <w:szCs w:val="24"/>
        </w:rPr>
        <w:t xml:space="preserve">- Жайыттарды башкаруу жана пайдалануу ыйгарым укуктарын ишке ашырууну камсыздоо үчүн берилген финансылык, материалдык жана башка каражаттарды өз убагында жана толук көлөмдө берүү;</w:t>
      </w:r>
    </w:p>
    <w:p>
      <w:pPr>
        <w:spacing w:after="120"/>
        <w:jc w:val="both"/>
      </w:pPr>
      <w:r>
        <w:rPr>
          <w:rFonts w:ascii="Arial" w:cs="Arial" w:eastAsia="Arial" w:hAnsi="Arial"/>
          <w:sz w:val="24"/>
          <w:szCs w:val="24"/>
        </w:rPr>
        <w:t xml:space="preserve">- Жайыттарды пайдалануу үчүн төлөмдүн үчтөн экисин (2/3) жергиликтүү кеңеш тарабынан бекитилген Жайыттарды башкаруу жана пайдалануу боюнча жамааттык планга ылайык, Жайыт пайдалануучулар бирикмесинин эсебине которуу;</w:t>
      </w:r>
    </w:p>
    <w:p>
      <w:pPr>
        <w:spacing w:after="120"/>
        <w:jc w:val="both"/>
      </w:pPr>
      <w:r>
        <w:rPr>
          <w:rFonts w:ascii="Arial" w:cs="Arial" w:eastAsia="Arial" w:hAnsi="Arial"/>
          <w:sz w:val="24"/>
          <w:szCs w:val="24"/>
        </w:rPr>
        <w:t xml:space="preserve">- Жайыт пайдалануучулар бирикмесине методикалык, уюштуруу, консультациялык жана башка жардам көрсөтүү; Жайыт пайдалануучулар бирикмесин жайыттарды башкаруу жана пайдалануу ыйгарым укуктарын аткарууга керектүү укуктук, техникалык жана башка документтер, ошондой эле кеңсе имараты менен камсыздоо;</w:t>
      </w:r>
    </w:p>
    <w:p>
      <w:pPr>
        <w:spacing w:after="120"/>
        <w:jc w:val="both"/>
      </w:pPr>
      <w:r>
        <w:rPr>
          <w:rFonts w:ascii="Arial" w:cs="Arial" w:eastAsia="Arial" w:hAnsi="Arial"/>
          <w:sz w:val="24"/>
          <w:szCs w:val="24"/>
        </w:rPr>
        <w:t xml:space="preserve">- жылына бир жолудан кем эмес жайыттардын абалына биргелешкен мониторинг жүргүзүү жана баа берүү;</w:t>
      </w:r>
    </w:p>
    <w:p>
      <w:pPr>
        <w:spacing w:after="120"/>
        <w:jc w:val="both"/>
      </w:pPr>
      <w:r>
        <w:rPr>
          <w:rFonts w:ascii="Arial" w:cs="Arial" w:eastAsia="Arial" w:hAnsi="Arial"/>
          <w:sz w:val="24"/>
          <w:szCs w:val="24"/>
        </w:rPr>
        <w:t xml:space="preserve">- Жайыт пайдалануучулар бирикмесине Кыргыз Республикасынын мыйзамдарына, жайыттарды жамааттык башкаруу жана пайдалануу планына, жылдык жайыттарды пайдалануу планынын жана ушул келишимдин негизинде жайыттарды эффективдүү башкаруу жана пайдаланууга тоскоол болгон аракеттерге жана чечимдерге жол бербөөгө милдеттүү;</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Жергиликтүү өзалдынча башкаруунун өкүлчүлүктүү органы – жергиликтүү кеңештин милдеттери:</w:t>
      </w:r>
    </w:p>
    <w:p>
      <w:pPr>
        <w:spacing w:after="120"/>
        <w:jc w:val="both"/>
      </w:pPr>
      <w:r>
        <w:rPr>
          <w:rFonts w:ascii="Arial" w:cs="Arial" w:eastAsia="Arial" w:hAnsi="Arial"/>
          <w:sz w:val="24"/>
          <w:szCs w:val="24"/>
        </w:rPr>
        <w:t xml:space="preserve">- Жайыт пайдалануучулар бирикмеси берген жайыттарды пайдалануу боюнча жылдык планды үстүбүздөгү жылдын 1-мартынан кечиктирбестен карап чыгуу жана бекитүү.</w:t>
      </w:r>
    </w:p>
    <w:p>
      <w:pPr>
        <w:spacing w:after="120"/>
        <w:jc w:val="both"/>
      </w:pPr>
      <w:r>
        <w:rPr>
          <w:rFonts w:ascii="Arial" w:cs="Arial" w:eastAsia="Arial" w:hAnsi="Arial"/>
          <w:sz w:val="24"/>
          <w:szCs w:val="24"/>
        </w:rPr>
        <w:t xml:space="preserve">2.3. Жайыт пайдалануучулар бирикмеси төмөнкүлөргө укуктуу:</w:t>
      </w:r>
    </w:p>
    <w:p>
      <w:pPr>
        <w:spacing w:after="120"/>
        <w:jc w:val="both"/>
      </w:pPr>
      <w:r>
        <w:rPr>
          <w:rFonts w:ascii="Arial" w:cs="Arial" w:eastAsia="Arial" w:hAnsi="Arial"/>
          <w:sz w:val="24"/>
          <w:szCs w:val="24"/>
        </w:rPr>
        <w:t xml:space="preserve">- жайыттарды башкаруу жана пайдалануу ыйгарым укуктарын аткаруу үчүн каралган финансылык, материалдык жана башка каражаттарды өз учурунда жана толук көлөмдө өткөрүп берүүсүн талап кылууга;</w:t>
      </w:r>
    </w:p>
    <w:p>
      <w:pPr>
        <w:spacing w:after="120"/>
        <w:jc w:val="both"/>
      </w:pPr>
      <w:r>
        <w:rPr>
          <w:rFonts w:ascii="Arial" w:cs="Arial" w:eastAsia="Arial" w:hAnsi="Arial"/>
          <w:sz w:val="24"/>
          <w:szCs w:val="24"/>
        </w:rPr>
        <w:t xml:space="preserve">- жайыт жерлерин өз алдынча жана Кыргыз Республикасынын мыйзамдарына, жергиликтүү кеңеш тарабынан бекитилген жайыттарды башкаруу жана пайдалануу боюнча жамааттардын планына ылайык башкарууга жана пайдаланууга;</w:t>
      </w:r>
    </w:p>
    <w:p>
      <w:pPr>
        <w:spacing w:after="120"/>
        <w:jc w:val="both"/>
      </w:pPr>
      <w:r>
        <w:rPr>
          <w:rFonts w:ascii="Arial" w:cs="Arial" w:eastAsia="Arial" w:hAnsi="Arial"/>
          <w:sz w:val="24"/>
          <w:szCs w:val="24"/>
        </w:rPr>
        <w:t xml:space="preserve">- жайыттарды башкаруу жана пайдалануу ыйгарым укуктарын аткаруу үчүн талап кылынган методикалык, уюштуруу, консультациялык жана башка жардамды, ошондой эле керектүү укуктук, техникалык жана башка</w:t>
      </w:r>
    </w:p>
    <w:p>
      <w:pPr>
        <w:spacing w:after="120"/>
        <w:jc w:val="both"/>
      </w:pPr>
      <w:r>
        <w:rPr>
          <w:rFonts w:ascii="Arial" w:cs="Arial" w:eastAsia="Arial" w:hAnsi="Arial"/>
          <w:sz w:val="24"/>
          <w:szCs w:val="24"/>
        </w:rPr>
        <w:t xml:space="preserve">документтерди, кеңсе имаратын жергиликтүү өз алдынча башкаруу органдарынан алууга;</w:t>
      </w:r>
    </w:p>
    <w:p>
      <w:pPr>
        <w:spacing w:after="120"/>
        <w:jc w:val="both"/>
      </w:pPr>
      <w:r>
        <w:rPr>
          <w:rFonts w:ascii="Arial" w:cs="Arial" w:eastAsia="Arial" w:hAnsi="Arial"/>
          <w:sz w:val="24"/>
          <w:szCs w:val="24"/>
        </w:rPr>
        <w:t xml:space="preserve">- жайыттарды башкаруу жана пайдалануу маселелерин талкуулоого байланышкан тиешелүү аймакта жайгашкан жергиликтүү кеңештин иш-аракеттерине катышууга жана сунуштарды киргизүүгө;</w:t>
      </w:r>
    </w:p>
    <w:p>
      <w:pPr>
        <w:spacing w:after="120"/>
        <w:jc w:val="both"/>
      </w:pPr>
      <w:r>
        <w:rPr>
          <w:rFonts w:ascii="Arial" w:cs="Arial" w:eastAsia="Arial" w:hAnsi="Arial"/>
          <w:sz w:val="24"/>
          <w:szCs w:val="24"/>
        </w:rPr>
        <w:t xml:space="preserve">- жайыттарды башкаруу жана пайдалануу ыйгарым укуктарын аткаруу учурунда кетирилген мыйзам бузууларды жоюу тууралуу жергиликтүү өз алдынча башкаруу органдары тарабынан берилген жазуу жүзүндөгү эскертүүлөр боюнча даттануу укугуна ээ.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Жайыт пайдалануучулар бирикмелери төмөнкүлөргө укуктуу:</w:t>
      </w:r>
    </w:p>
    <w:p>
      <w:pPr>
        <w:spacing w:after="120"/>
        <w:jc w:val="both"/>
      </w:pPr>
      <w:r>
        <w:rPr>
          <w:rFonts w:ascii="Arial" w:cs="Arial" w:eastAsia="Arial" w:hAnsi="Arial"/>
          <w:sz w:val="24"/>
          <w:szCs w:val="24"/>
        </w:rPr>
        <w:t xml:space="preserve">- жайыт жерлерин башкаруу жана пайдалануу ыйгарым укуктарын Кыргыз Республикасынын мыйзамына, жайыттарды жамааттык башкаруу жана пайдалануу планына, жайыт жерлерин пайдалануунун жылдык планына жана ушул келишимге ылайык аткарууга;</w:t>
      </w:r>
    </w:p>
    <w:p>
      <w:pPr>
        <w:spacing w:after="120"/>
        <w:jc w:val="both"/>
      </w:pPr>
      <w:r>
        <w:rPr>
          <w:rFonts w:ascii="Arial" w:cs="Arial" w:eastAsia="Arial" w:hAnsi="Arial"/>
          <w:sz w:val="24"/>
          <w:szCs w:val="24"/>
        </w:rPr>
        <w:t xml:space="preserve">- жергиликтүү өз алдынча органы менен биргеликте жайыттардын абалына жылына бир жолудан кем эмес мониторинг жүргүзүүгө жана баа берүүгө;</w:t>
      </w:r>
    </w:p>
    <w:p>
      <w:pPr>
        <w:spacing w:after="120"/>
        <w:jc w:val="both"/>
      </w:pPr>
      <w:r>
        <w:rPr>
          <w:rFonts w:ascii="Arial" w:cs="Arial" w:eastAsia="Arial" w:hAnsi="Arial"/>
          <w:sz w:val="24"/>
          <w:szCs w:val="24"/>
        </w:rPr>
        <w:t xml:space="preserve">- жайыт билеттерин мыйзамга, жайыттарды пайдалануунун жылдык планына ылайык берүүгө жана жайыттарды мал жаюуга байланышпаган, башка максатта пайдалануу боюнча келишимдерди түзүүгө;</w:t>
      </w:r>
    </w:p>
    <w:p>
      <w:pPr>
        <w:spacing w:after="120"/>
        <w:jc w:val="both"/>
      </w:pPr>
      <w:r>
        <w:rPr>
          <w:rFonts w:ascii="Arial" w:cs="Arial" w:eastAsia="Arial" w:hAnsi="Arial"/>
          <w:sz w:val="24"/>
          <w:szCs w:val="24"/>
        </w:rPr>
        <w:t xml:space="preserve">- жергиликтүү кеңеш тарабынан бекитилглен жайыттарды пайдалануу үчүн төлөмдү аныктоого жана жыйноого;</w:t>
      </w:r>
    </w:p>
    <w:p>
      <w:pPr>
        <w:spacing w:after="120"/>
        <w:jc w:val="both"/>
      </w:pPr>
      <w:r>
        <w:rPr>
          <w:rFonts w:ascii="Arial" w:cs="Arial" w:eastAsia="Arial" w:hAnsi="Arial"/>
          <w:sz w:val="24"/>
          <w:szCs w:val="24"/>
        </w:rPr>
        <w:t xml:space="preserve">- жайыттарды пайдалануу жана чектерин аныктоого байланышкан жайыт пайдалануучулардын ортосунда келип чыккан талаш-тартыштары чечүүгө;</w:t>
      </w:r>
    </w:p>
    <w:p>
      <w:pPr>
        <w:spacing w:after="120"/>
        <w:jc w:val="both"/>
      </w:pPr>
      <w:r>
        <w:rPr>
          <w:rFonts w:ascii="Arial" w:cs="Arial" w:eastAsia="Arial" w:hAnsi="Arial"/>
          <w:sz w:val="24"/>
          <w:szCs w:val="24"/>
        </w:rPr>
        <w:t xml:space="preserve">- жайыттарды башкаруу жана пайдалануу боюнча жамааттардын планын жана жайыттарды пайдалануунун жылдык планын өз убагында иштеп чыгып, жергиликтүү кеңешке кароого жана бекитүүгө үстүбүздөгү жылдын 1-февралынан кечиктирбей берүүгө;</w:t>
      </w:r>
    </w:p>
    <w:p>
      <w:pPr>
        <w:spacing w:after="120"/>
        <w:jc w:val="both"/>
      </w:pPr>
      <w:r>
        <w:rPr>
          <w:rFonts w:ascii="Arial" w:cs="Arial" w:eastAsia="Arial" w:hAnsi="Arial"/>
          <w:sz w:val="24"/>
          <w:szCs w:val="24"/>
        </w:rPr>
        <w:t xml:space="preserve">- жайыт которууну, мал жаюу мөөнөтүн жана узактыгын жайытты деградацияга алып келе турган ашыкча жүк келтирбей колдонууга;</w:t>
      </w:r>
    </w:p>
    <w:p>
      <w:pPr>
        <w:spacing w:after="120"/>
        <w:jc w:val="both"/>
      </w:pPr>
      <w:r>
        <w:rPr>
          <w:rFonts w:ascii="Arial" w:cs="Arial" w:eastAsia="Arial" w:hAnsi="Arial"/>
          <w:sz w:val="24"/>
          <w:szCs w:val="24"/>
        </w:rPr>
        <w:t xml:space="preserve">- ыйгарым укуктарды аткаруу үчүн берилген материалдык, финансылык жана башка каражаттарды максаттуу пайдаланууну камсыздоого;</w:t>
      </w:r>
    </w:p>
    <w:p>
      <w:pPr>
        <w:spacing w:after="120"/>
        <w:jc w:val="both"/>
      </w:pPr>
      <w:r>
        <w:rPr>
          <w:rFonts w:ascii="Arial" w:cs="Arial" w:eastAsia="Arial" w:hAnsi="Arial"/>
          <w:sz w:val="24"/>
          <w:szCs w:val="24"/>
        </w:rPr>
        <w:t xml:space="preserve">- ыйгарым укуктарды аткаруу жана берилген материлдык, финансылык жана башка каражаттарды пайдалануу боюнча жергиликтүү өз алдынча башкаруу органдарына текшерүүлөрдү тоскоолсуз жүргүзүүгө шарттарды түзүп берүүгө;</w:t>
      </w:r>
    </w:p>
    <w:p>
      <w:pPr>
        <w:spacing w:after="120"/>
        <w:jc w:val="both"/>
      </w:pPr>
      <w:r>
        <w:rPr>
          <w:rFonts w:ascii="Arial" w:cs="Arial" w:eastAsia="Arial" w:hAnsi="Arial"/>
          <w:sz w:val="24"/>
          <w:szCs w:val="24"/>
        </w:rPr>
        <w:t xml:space="preserve">- жайыттардын абалы, ошондой эле жайыттарды башкаруу жана пайдалануу ыйгарым укуктардын аткарылышы жөнүндө отчетту, жайыттарды башкаруу жана пайдалануу боюнча жамааттын планы жөнүндө жергиликтүү өз алдынча башкаруу органына жылына бир жолу маалымат берүүгө;</w:t>
      </w:r>
    </w:p>
    <w:p>
      <w:pPr>
        <w:spacing w:after="120"/>
        <w:jc w:val="both"/>
      </w:pPr>
      <w:r>
        <w:rPr>
          <w:rFonts w:ascii="Arial" w:cs="Arial" w:eastAsia="Arial" w:hAnsi="Arial"/>
          <w:sz w:val="24"/>
          <w:szCs w:val="24"/>
        </w:rPr>
        <w:t xml:space="preserve">- жайыттарды башкаруу жана пайдалануу ыйгарым укуктарын аткарууга бөлүнүп берилген финансылык каражаттарды пайдалануу тууралуу жергиликтүү өз алдынча башкаруу органына жылына бир жолу финансылык отчет берүүгө;</w:t>
      </w:r>
    </w:p>
    <w:p>
      <w:pPr>
        <w:spacing w:after="120"/>
        <w:jc w:val="both"/>
      </w:pPr>
      <w:r>
        <w:rPr>
          <w:rFonts w:ascii="Arial" w:cs="Arial" w:eastAsia="Arial" w:hAnsi="Arial"/>
          <w:sz w:val="24"/>
          <w:szCs w:val="24"/>
        </w:rPr>
        <w:t xml:space="preserve">- жергиликтүү өз алдынча башкаруу органынын талабы боюнча жайыттарды башкаруу жана пайдалануу боюнча ыйгарым укуктарды аткарууга байланыштуу маалымат, материалдарды жана документтерди берүүгө;</w:t>
      </w:r>
    </w:p>
    <w:p>
      <w:pPr>
        <w:spacing w:after="120"/>
        <w:jc w:val="both"/>
      </w:pPr>
      <w:r>
        <w:rPr>
          <w:rFonts w:ascii="Arial" w:cs="Arial" w:eastAsia="Arial" w:hAnsi="Arial"/>
          <w:sz w:val="24"/>
          <w:szCs w:val="24"/>
        </w:rPr>
        <w:t xml:space="preserve">- Кыргыз Республикасынын мыйзамын, жайыттарды жамааттык башкаруу жана пайдалануу планын, жайыттарды пайдалануунун жылдык планын жана ушул келишимди бузууну болтурбоого;</w:t>
      </w:r>
    </w:p>
    <w:p>
      <w:pPr>
        <w:spacing w:after="120"/>
        <w:jc w:val="both"/>
      </w:pPr>
      <w:r>
        <w:rPr>
          <w:rFonts w:ascii="Arial" w:cs="Arial" w:eastAsia="Arial" w:hAnsi="Arial"/>
          <w:sz w:val="24"/>
          <w:szCs w:val="24"/>
        </w:rPr>
        <w:t xml:space="preserve">- ыйгарым укуктар мөөнөтүнөн мурда токтотулган учурда, жайыттарды башкаруу жана пайдалануу ыйгарым укуктарын аткарууга берилген сарпталбаган финансылык, материалдык жана башка каражаттарды кайтарып берүүгө;</w:t>
      </w:r>
    </w:p>
    <w:p>
      <w:pPr>
        <w:spacing w:after="120"/>
        <w:jc w:val="both"/>
      </w:pPr>
      <w:r>
        <w:rPr>
          <w:rFonts w:ascii="Arial" w:cs="Arial" w:eastAsia="Arial" w:hAnsi="Arial"/>
          <w:sz w:val="24"/>
          <w:szCs w:val="24"/>
        </w:rPr>
        <w:t xml:space="preserve">- ушул келишимде аныкталган өзүнүн укуктарын жана милдеттерин башка адамга өткөрүп бербөөгө милдеттүү;</w:t>
      </w:r>
    </w:p>
    <w:p>
      <w:pPr>
        <w:spacing w:after="120"/>
        <w:jc w:val="both"/>
      </w:pPr>
      <w:r>
        <w:rPr>
          <w:rFonts w:ascii="Arial" w:cs="Arial" w:eastAsia="Arial" w:hAnsi="Arial"/>
          <w:sz w:val="24"/>
          <w:szCs w:val="24"/>
        </w:rPr>
        <w:t xml:space="preserve">Тараптардын финансылык мамилелери</w:t>
      </w:r>
    </w:p>
    <w:p>
      <w:pPr>
        <w:spacing w:after="120"/>
        <w:jc w:val="both"/>
      </w:pPr>
      <w:r>
        <w:rPr>
          <w:rFonts w:ascii="Arial" w:cs="Arial" w:eastAsia="Arial" w:hAnsi="Arial"/>
          <w:sz w:val="24"/>
          <w:szCs w:val="24"/>
        </w:rPr>
        <w:t xml:space="preserve">3.1. Жайыт жерлерин пайдалангандыгы үчүн төлөмдү жайыт комитети жыйнайт. Кыргыз Республикасынын бюджеттик мыйзамына ылайык, жайыт жерлерин пайдалануудан түшкөн каражаттар жергиликтүү өз алдынча органдын бюджетине которулат, жана жергиликтүү бюджеттин киреше жана чыгаша бөлүгүнүн курамында бекитилет.</w:t>
      </w:r>
    </w:p>
    <w:p>
      <w:pPr>
        <w:spacing w:after="120"/>
        <w:jc w:val="both"/>
      </w:pPr>
      <w:r>
        <w:rPr>
          <w:rFonts w:ascii="Arial" w:cs="Arial" w:eastAsia="Arial" w:hAnsi="Arial"/>
          <w:sz w:val="24"/>
          <w:szCs w:val="24"/>
        </w:rPr>
        <w:t xml:space="preserve">3.2. Жайыттарды башкаруу жана пайдалануу боюнча ыйгарылган укуктарды аткаруу максатында, жергиликтүү кеңеш тарабынан бекитилген жергиликтүү бюджеттин жазылышына ылайык, жайыттарды пайдалангандыгы үчүн төлөмдүн үчтөн экиси (2/3) Жайыт пайдалануучулар бирикмесинин эсебине которулат. Которулган финансылык каражаттардын суммасы, жергиликтүү өз алдынча башкаруу органында/Айыл өкмөтүндө ачылган ЖПБ/ЖКнын өздүк эсебиндеги акча каражаттарына байланыштуу болот.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ЖПБнын эсебине акча каражаттарын которуу мөөнөтү ЖК өтүнмөнү берген күндөн тартып 2 күндөн көп эмес убакытты түзөт.</w:t>
      </w:r>
    </w:p>
    <w:p>
      <w:pPr>
        <w:spacing w:after="120"/>
        <w:jc w:val="both"/>
      </w:pPr>
      <w:r>
        <w:rPr>
          <w:rFonts w:ascii="Arial" w:cs="Arial" w:eastAsia="Arial" w:hAnsi="Arial"/>
          <w:sz w:val="24"/>
          <w:szCs w:val="24"/>
        </w:rPr>
        <w:t xml:space="preserve">3.4. Жайыт пайдалануучулар бирикмеси финансылык каражаттарды жергиликтүү кеңеш тарабынан бекитилген Жайыттарды башкаруу жана пайдалануу боюнча жамааттык планга жана жайыттарды пайдалануу боюнча жылдык планга ылайык иш-чараларды каржылоого жумшайт.</w:t>
      </w:r>
    </w:p>
    <w:p>
      <w:pPr>
        <w:spacing w:after="120"/>
        <w:jc w:val="both"/>
      </w:pPr>
      <w:r>
        <w:rPr>
          <w:rFonts w:ascii="Arial" w:cs="Arial" w:eastAsia="Arial" w:hAnsi="Arial"/>
          <w:sz w:val="24"/>
          <w:szCs w:val="24"/>
        </w:rPr>
        <w:t xml:space="preserve">3.5. Жайыт пайдалануучуларга салык салуу Кыргыз Республикасынын салык мыйзамына ылайык жүргүзүлөт.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Жайыт пайдалануучулар бирикмелеринин жергиликтүү өз алдына башкаруу органынын алдындагы отчеттуулугу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Жайыт пайдалануучулар бирикмеси жергиликтүү өз алдынча башкаруу органына ыйгарылган укуктардын аткарылышы жана аткаруу үчүн бөлүнгөн материалдык жана финансылык каражаттарды пайдалануу жөнүндө отчетторду ушул келишимде белгиленген мөөнөттө тапшырат. Бул отчеттор жергиликтүү кеңеш тарабынан бекитилет.</w:t>
      </w:r>
    </w:p>
    <w:p>
      <w:pPr>
        <w:spacing w:after="120"/>
        <w:jc w:val="both"/>
      </w:pPr>
      <w:r>
        <w:rPr>
          <w:rFonts w:ascii="Arial" w:cs="Arial" w:eastAsia="Arial" w:hAnsi="Arial"/>
          <w:sz w:val="24"/>
          <w:szCs w:val="24"/>
        </w:rPr>
        <w:t xml:space="preserve">4.2. Ыйгарылган укуктардын аткарылышы тууралуу отчеттуулук ушул келишимде белгиленген мөөнөттө берилбесе, Жайыт пайдалануучулар бирикмеси Кыргыз Республикасынын мыйзамдарында каралган жоопкерчилик тартат.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Келишимди колдонууга киргизүү тартиби жана мөөнөтү</w:t>
      </w:r>
    </w:p>
    <w:p>
      <w:pPr>
        <w:spacing w:after="120"/>
        <w:jc w:val="both"/>
      </w:pPr>
      <w:r>
        <w:rPr>
          <w:rFonts w:ascii="Arial" w:cs="Arial" w:eastAsia="Arial" w:hAnsi="Arial"/>
          <w:sz w:val="24"/>
          <w:szCs w:val="24"/>
        </w:rPr>
        <w:t xml:space="preserve">5.1. Ушул келишим жергиликтүү кеңеш тарабынан бекитилген күндөн тартып күчүнө кирет.</w:t>
      </w:r>
    </w:p>
    <w:p>
      <w:pPr>
        <w:spacing w:after="120"/>
        <w:jc w:val="both"/>
      </w:pPr>
      <w:r>
        <w:rPr>
          <w:rFonts w:ascii="Arial" w:cs="Arial" w:eastAsia="Arial" w:hAnsi="Arial"/>
          <w:sz w:val="24"/>
          <w:szCs w:val="24"/>
        </w:rPr>
        <w:t xml:space="preserve">5.2. Ушул келишим белгисиз мөөнөткө түзүлдү.</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Келишимдин шарттарын өзгөртүү</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Ушул келишимди өзгөртүүгө жана толуктоого тараптардын макулдашуусу боюнча жол берилет.</w:t>
      </w:r>
    </w:p>
    <w:p>
      <w:pPr>
        <w:spacing w:after="120"/>
        <w:jc w:val="both"/>
      </w:pPr>
      <w:r>
        <w:rPr>
          <w:rFonts w:ascii="Arial" w:cs="Arial" w:eastAsia="Arial" w:hAnsi="Arial"/>
          <w:sz w:val="24"/>
          <w:szCs w:val="24"/>
        </w:rPr>
        <w:t xml:space="preserve">6.2. Ушул келишимге киргизилүүчү өзгөртүүлөр жана толуктоолор жергиликтүү кеңеш тарабынан бекитилет жана ушул келишимге киргизилген өзгөртүүлөр жана толуктоолор жергиликтүү кеңеш тарабынан бекитилген күңдөн тартып күчүнө кирет.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Ыйгарым укуктарды аткарууну токтотуу негиздери жана тартиби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Жайыт пайдалануучулар бирикмесине берилген жайыттарды башкаруу жана пайдалануу ыйгарым укуктары төмөнкү учурларда токтотулушу мүмкүн:</w:t>
      </w:r>
    </w:p>
    <w:p>
      <w:pPr>
        <w:spacing w:after="120"/>
        <w:jc w:val="both"/>
      </w:pPr>
      <w:r>
        <w:rPr>
          <w:rFonts w:ascii="Arial" w:cs="Arial" w:eastAsia="Arial" w:hAnsi="Arial"/>
          <w:sz w:val="24"/>
          <w:szCs w:val="24"/>
        </w:rPr>
        <w:t xml:space="preserve">- келишимди жараксыз деп табуу жөнүндө соттун чечими мыйзамдуу күчүнө киргенде;</w:t>
      </w:r>
    </w:p>
    <w:p>
      <w:pPr>
        <w:spacing w:after="120"/>
        <w:jc w:val="both"/>
      </w:pPr>
      <w:r>
        <w:rPr>
          <w:rFonts w:ascii="Arial" w:cs="Arial" w:eastAsia="Arial" w:hAnsi="Arial"/>
          <w:sz w:val="24"/>
          <w:szCs w:val="24"/>
        </w:rPr>
        <w:t xml:space="preserve">- жайыттарды башкаруу жана пайдалануу ыйгарым укуктарын андан ары аткаруу мүмкүндүгүн алып таштоо боюнча ченемдик укуктук акты кабыл алынганда;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Ыйгарым укуктарды аткаруу төмөнкү учурларда мөөнөтүнөн мурда токтотулушу мүмкүн:</w:t>
      </w:r>
    </w:p>
    <w:p>
      <w:pPr>
        <w:spacing w:after="120"/>
        <w:jc w:val="both"/>
      </w:pPr>
      <w:r>
        <w:rPr>
          <w:rFonts w:ascii="Arial" w:cs="Arial" w:eastAsia="Arial" w:hAnsi="Arial"/>
          <w:sz w:val="24"/>
          <w:szCs w:val="24"/>
        </w:rPr>
        <w:t xml:space="preserve">- Жайыт пайдалануучулар бирикмеси ыйгарым укуктарын аткаруу үчүн алган материалдык, финансылык жана башка каражаттарды максатсыз пайдаланганда;</w:t>
      </w:r>
    </w:p>
    <w:p>
      <w:pPr>
        <w:spacing w:after="120"/>
        <w:jc w:val="both"/>
      </w:pPr>
      <w:r>
        <w:rPr>
          <w:rFonts w:ascii="Arial" w:cs="Arial" w:eastAsia="Arial" w:hAnsi="Arial"/>
          <w:sz w:val="24"/>
          <w:szCs w:val="24"/>
        </w:rPr>
        <w:t xml:space="preserve">7.3. Жайыттарды башкаруу жана пайдалануу ыйгарым укуктарын аткаруу талаптардын биринин демилгеси менен токтотула турган болсо, токтотууну талап кылган тарап экинчи тарапка жазуу жүзүндө билдирүүнү жайыттарды башкаруу жана пайдалануу боюнча ыйгарым укуктарды аткарууну токтотуунун болжолдуу күнүнөн 15 жумуш күн мурда жөнөтүшү керек;</w:t>
      </w:r>
    </w:p>
    <w:p>
      <w:pPr>
        <w:spacing w:after="120"/>
        <w:jc w:val="both"/>
      </w:pPr>
      <w:r>
        <w:rPr>
          <w:rFonts w:ascii="Arial" w:cs="Arial" w:eastAsia="Arial" w:hAnsi="Arial"/>
          <w:sz w:val="24"/>
          <w:szCs w:val="24"/>
        </w:rPr>
        <w:t xml:space="preserve">7.4. Жайыттарды башкаруу жана пайдалануу ыйгарым укуктарын аткарууну токтотуу жөнүңдө билдирүүнү алган тарап аны 15 жумуш күнү ичинде карап чыгат жана экинчи тарапка билдирүү боюнча кабыл алынган чечимин билдирет;</w:t>
      </w:r>
    </w:p>
    <w:p>
      <w:pPr>
        <w:spacing w:after="120"/>
        <w:jc w:val="both"/>
      </w:pPr>
      <w:r>
        <w:rPr>
          <w:rFonts w:ascii="Arial" w:cs="Arial" w:eastAsia="Arial" w:hAnsi="Arial"/>
          <w:sz w:val="24"/>
          <w:szCs w:val="24"/>
        </w:rPr>
        <w:t xml:space="preserve">Экинчи тарап алынган билдирүү боюнча макул болсо, жайыттарды башкаруу жана пайдалануу ыйгарым укуктары тараптардын макулдашуусуна ылайык токтотулат.</w:t>
      </w:r>
    </w:p>
    <w:p>
      <w:pPr>
        <w:spacing w:after="120"/>
        <w:jc w:val="both"/>
      </w:pPr>
      <w:r>
        <w:rPr>
          <w:rFonts w:ascii="Arial" w:cs="Arial" w:eastAsia="Arial" w:hAnsi="Arial"/>
          <w:sz w:val="24"/>
          <w:szCs w:val="24"/>
        </w:rPr>
        <w:t xml:space="preserve">7.5. Эгерде 30 жумуш күнү ичинде билдирүүнү кароонун жыйынтыгы тууралуу жазуу жүзүндө жооп жок болсо же экинчи тарап жайыттарды башкаруу жана пайдалануу боюнча ыйгарым укуктарын аткарууну токтотууга каршы болсо, ыйгарым укуктарды мөөнөтүңөн мурда токтотуу маселеси сот тартибинде чечилет.</w:t>
      </w:r>
    </w:p>
    <w:p>
      <w:pPr>
        <w:spacing w:after="120"/>
        <w:jc w:val="both"/>
      </w:pPr>
      <w:r>
        <w:rPr>
          <w:rFonts w:ascii="Arial" w:cs="Arial" w:eastAsia="Arial" w:hAnsi="Arial"/>
          <w:sz w:val="24"/>
          <w:szCs w:val="24"/>
        </w:rPr>
        <w:t xml:space="preserve">7.6. Жайыт пайдалануучулар бирикмеси тарабынан жайыттарды башкаруу жана пайдалануу ыйгарым укуктарын аткаруу токтотулган күндөн тартып, бул ыйгарым укуктарды Жайыт пайдалануучуга ыйгарым укуктарды берген жергиликтүү өз алдынча башкаруу органы аткарууга милдеттүү.</w:t>
      </w:r>
    </w:p>
    <w:p>
      <w:pPr>
        <w:spacing w:after="120"/>
        <w:jc w:val="both"/>
      </w:pPr>
      <w:r>
        <w:rPr>
          <w:rFonts w:ascii="Arial" w:cs="Arial" w:eastAsia="Arial" w:hAnsi="Arial"/>
          <w:sz w:val="24"/>
          <w:szCs w:val="24"/>
        </w:rPr>
        <w:t xml:space="preserve">8. Тараптардын жоопкерчилиги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Келишимдин шарттарын талаптагыдай аткарбагандыгы, укуктарды чектегендиги же материалдык жана моралдык зыян келтиргендиги үчүн тараптар Кыргыз Республикасынын мыйзамдарында белгиленген тартипте жоопкерчилик тартышат.</w:t>
      </w:r>
    </w:p>
    <w:p>
      <w:pPr>
        <w:spacing w:after="120"/>
        <w:jc w:val="both"/>
      </w:pPr>
      <w:r>
        <w:rPr>
          <w:rFonts w:ascii="Arial" w:cs="Arial" w:eastAsia="Arial" w:hAnsi="Arial"/>
          <w:sz w:val="24"/>
          <w:szCs w:val="24"/>
        </w:rPr>
        <w:t xml:space="preserve">8.2. Жайыт комитетинин төрагасы жайыттарды башкаруу жана пайдалануу ыйгарым укуктарын тийиштүү түрдө аткаруу, өткөрүлүп берилген финансылык, материалдык жана башка каражаттарды максатуу пайдалануу жана Кыргыз Республикасынын мыйзамдарынын жана ушул келишимдин жоболорун так аткарууга жеке жоопкерчилик тартат.</w:t>
      </w:r>
    </w:p>
    <w:p>
      <w:pPr>
        <w:spacing w:after="120"/>
        <w:jc w:val="both"/>
      </w:pPr>
      <w:r>
        <w:rPr>
          <w:rFonts w:ascii="Arial" w:cs="Arial" w:eastAsia="Arial" w:hAnsi="Arial"/>
          <w:sz w:val="24"/>
          <w:szCs w:val="24"/>
        </w:rPr>
        <w:t xml:space="preserve">9. Талаш-тартыштарды чечүү тартиби</w:t>
      </w:r>
    </w:p>
    <w:p>
      <w:pPr>
        <w:spacing w:after="120"/>
        <w:jc w:val="both"/>
      </w:pPr>
      <w:r>
        <w:rPr>
          <w:rFonts w:ascii="Arial" w:cs="Arial" w:eastAsia="Arial" w:hAnsi="Arial"/>
          <w:sz w:val="24"/>
          <w:szCs w:val="24"/>
        </w:rPr>
        <w:t xml:space="preserve">9.1. Ушул келишимден келип чыккан талаш-тартыштарды тараптар сүйлөшүү жолу менен чечүүгө милдеттенишет. Эгер макулдашууга жетишүү мүмкүн болбосо, талаш-тартыштар сот тартибинде чечилет.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Корутунду жоболор</w:t>
      </w:r>
    </w:p>
    <w:p>
      <w:pPr>
        <w:spacing w:after="120"/>
        <w:jc w:val="both"/>
      </w:pPr>
      <w:r>
        <w:rPr>
          <w:rFonts w:ascii="Arial" w:cs="Arial" w:eastAsia="Arial" w:hAnsi="Arial"/>
          <w:sz w:val="24"/>
          <w:szCs w:val="24"/>
        </w:rPr>
        <w:t xml:space="preserve">10.1. Жайыттарды башкаруу жана пайдалануу ыйгарым укуктарын Жайыт пайдалануучулар бирикмесине өткөрүп берүү жөнүндө келишим мамлекеттик жана (же) расмий тилдерде үч нускада түзүлөт, тараптардын ар бири үчүн бирден нуска берилет жана бир нускасы Кыргыз Республикасынын Айыл чарба, тамак-аш өнөр жайы жана мелиорация министрлигине мамлекеттик жайыт жерлерин башкаруу жана пайдалануу чөйрөсүндөгү мамлекеттик саясатты ишке ашыруучу ыйгарым укуктуу мамлекеттик орган катары маалымат үчүн жөнөтүлөт.</w:t>
      </w:r>
    </w:p>
    <w:p>
      <w:pPr>
        <w:spacing w:after="120"/>
        <w:jc w:val="both"/>
      </w:pPr>
      <w:r>
        <w:rPr>
          <w:rFonts w:ascii="Arial" w:cs="Arial" w:eastAsia="Arial" w:hAnsi="Arial"/>
          <w:sz w:val="24"/>
          <w:szCs w:val="24"/>
        </w:rPr>
        <w:t xml:space="preserve">10.2. Ушул келишимдин бардык нускалары окшош жана бирдей юридикалык күчкө ээ.</w:t>
      </w:r>
    </w:p>
    <w:p>
      <w:pPr>
        <w:spacing w:after="120"/>
        <w:jc w:val="both"/>
      </w:pPr>
      <w:r>
        <w:rPr>
          <w:rFonts w:ascii="Arial" w:cs="Arial" w:eastAsia="Arial" w:hAnsi="Arial"/>
          <w:sz w:val="24"/>
          <w:szCs w:val="24"/>
        </w:rPr>
        <w:t xml:space="preserve">Тараптардын даректери жана колдору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Ош шаардык Кеңешинин</w:t>
      </w:r>
    </w:p>
    <w:p>
      <w:pPr>
        <w:spacing w:after="120"/>
        <w:jc w:val="both"/>
      </w:pPr>
      <w:r>
        <w:rPr>
          <w:rFonts w:ascii="Arial" w:cs="Arial" w:eastAsia="Arial" w:hAnsi="Arial"/>
          <w:sz w:val="24"/>
          <w:szCs w:val="24"/>
        </w:rPr>
        <w:t xml:space="preserve">аппарат жетекчиси С.Маматалиева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c33u4-sevoalhczjdqbu">
      <w:r>
        <w:rPr>
          <w:rFonts w:ascii="Arial" w:cs="Arial" w:eastAsia="Arial" w:hAnsi="Arial"/>
          <w:color w:val="132D3F"/>
          <w:sz w:val="16"/>
          <w:szCs w:val="16"/>
          <w:u w:val="single"/>
        </w:rPr>
        <w:t xml:space="preserve">dalil.kg/document/407042</w:t>
      </w:r>
    </w:hyperlink>
  </w:p>
  <w:p>
    <w:pPr>
      <w:spacing w:after="0" w:before="40"/>
      <w:jc w:val="center"/>
    </w:pPr>
    <w:hyperlink w:history="1" r:id="rIdc2wdzu2r-x268-_fbker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xzasa2xhrbokhhscuygn" Type="http://schemas.openxmlformats.org/officeDocument/2006/relationships/hyperlink" Target="https://dalil.kg/document/202594" TargetMode="External"/><Relationship Id="rIdneqz9uzsnn3m9eutt0uui" Type="http://schemas.openxmlformats.org/officeDocument/2006/relationships/hyperlink" Target="https://dalil.kg/document/407042#p1" TargetMode="External"/><Relationship Id="rIdmm4kyd0dnu5vmrwt2lii9" Type="http://schemas.openxmlformats.org/officeDocument/2006/relationships/hyperlink" Target="https://dalil.kg/document/407042#p2" TargetMode="External"/><Relationship Id="rId_wjn-ycwf-rijio7zugyn" Type="http://schemas.openxmlformats.org/officeDocument/2006/relationships/hyperlink" Target="https://dalil.kg/document/407042#p3" TargetMode="External"/><Relationship Id="rIdvebmnx_z2s7vdulhmcu1a" Type="http://schemas.openxmlformats.org/officeDocument/2006/relationships/hyperlink" Target="https://dalil.kg/document/407042" TargetMode="External"/><Relationship Id="rIdboeexodck0ojyt5ajhlxp" Type="http://schemas.openxmlformats.org/officeDocument/2006/relationships/hyperlink" Target="https://dalil.kg/document/407042" TargetMode="External"/><Relationship Id="rIdketgtkxanq0li_b4xnluz" Type="http://schemas.openxmlformats.org/officeDocument/2006/relationships/hyperlink" Target="https://dalil.kg/document/40704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c33u4-sevoalhczjdqbu" Type="http://schemas.openxmlformats.org/officeDocument/2006/relationships/hyperlink" Target="https://dalil.kg/document/407042" TargetMode="External"/><Relationship Id="rIdc2wdzu2r-x268-_fbker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2026-10-03T04:43:00.872Z</dcterms:created>
  <dcterms:modified xsi:type="dcterms:W3CDTF">2026-10-03T04:43:00.872Z</dcterms:modified>
</cp:coreProperties>
</file>

<file path=docProps/custom.xml><?xml version="1.0" encoding="utf-8"?>
<Properties xmlns="http://schemas.openxmlformats.org/officeDocument/2006/custom-properties" xmlns:vt="http://schemas.openxmlformats.org/officeDocument/2006/docPropsVTypes"/>
</file>