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2019 года № 178</w:t>
      </w:r>
    </w:p>
    <w:p>
      <w:pPr>
        <w:spacing w:after="120"/>
        <w:jc w:val="both"/>
      </w:pPr>
      <w:r>
        <w:rPr>
          <w:rFonts w:ascii="Arial" w:cs="Arial" w:eastAsia="Arial" w:hAnsi="Arial"/>
          <w:sz w:val="28"/>
          <w:szCs w:val="28"/>
        </w:rPr>
        <w:t xml:space="preserve">Об утверждении плана управления пастбищами, развития животноводства сельского сообщества и бюджета пастбищного комитета сообщества Жапалакского сельского территориального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мэрии города Ош об утверждении плана управления пастбищами, развития животноводства сообществ Жапалакского сельского управления сел и бюджета пастбищного комитета № 261/08-13 от 2 апреля 2019 года, в соответствии со статьями 8 и 10 </w:t>
      </w:r>
      <w:hyperlink w:history="1" r:id="rIdjh6g1hlwndcie730fdz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№26 от 8 мая 2019 года, а также мнения и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на 2019 год план работы по управлению пастбищами и развитию животноводства сеьского сообщества согласно </w:t>
      </w:r>
      <w:hyperlink w:history="1" r:id="rIdsj94scd1huuddniwzc8hd">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бюджет пастбищного комитета Жапалакского территориального управления сңл согласно </w:t>
      </w:r>
      <w:hyperlink w:history="1" r:id="rIdhjnoxg8zep-8xnynivp8e">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(приложения прилагаются).</w:t>
      </w:r>
    </w:p>
    <w:p>
      <w:pPr>
        <w:spacing w:after="120"/>
        <w:jc w:val="both"/>
      </w:pPr>
      <w:r>
        <w:rPr>
          <w:rFonts w:ascii="Arial" w:cs="Arial" w:eastAsia="Arial" w:hAnsi="Arial"/>
          <w:sz w:val="24"/>
          <w:szCs w:val="24"/>
        </w:rPr>
        <w:t xml:space="preserve">2. Постановление зарегистрировать в установленном законодательством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к постановлению №178 </w:t>
      </w:r>
    </w:p>
    <w:p>
      <w:pPr>
        <w:spacing w:after="120"/>
        <w:jc w:val="right"/>
      </w:pPr>
      <w:r>
        <w:rPr>
          <w:rFonts w:ascii="Arial" w:cs="Arial" w:eastAsia="Arial" w:hAnsi="Arial"/>
          <w:sz w:val="24"/>
          <w:szCs w:val="24"/>
        </w:rPr>
        <w:t xml:space="preserve">очередной XX сессии (IV созыв) Ошского городского Кенеша</w:t>
      </w:r>
    </w:p>
    <w:p>
      <w:pPr>
        <w:spacing w:after="120"/>
        <w:jc w:val="right"/>
      </w:pPr>
      <w:r>
        <w:rPr>
          <w:rFonts w:ascii="Arial" w:cs="Arial" w:eastAsia="Arial" w:hAnsi="Arial"/>
          <w:sz w:val="24"/>
          <w:szCs w:val="24"/>
        </w:rPr>
        <w:t xml:space="preserve">от 14 мая 2019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СООБЩЕСТВА ПО УПРАВЛЕНИЮ ПАСТБИЩАМИ И РАЗВИТИЮ ЖИВОТНОВОДСТВА ЖАПАЛАКСКОГО ТЕРРИТОРИАЛЬНОГО УПРАВЛЕНИЯ СЁЛ НА 2019 ГОД.</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Село Жапалак, города Ош. 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ТУС – Территориального управление сёл</w:t>
      </w:r>
    </w:p>
    <w:p>
      <w:pPr>
        <w:spacing w:after="120"/>
        <w:jc w:val="both"/>
      </w:pPr>
      <w:r>
        <w:rPr>
          <w:rFonts w:ascii="Arial" w:cs="Arial" w:eastAsia="Arial" w:hAnsi="Arial"/>
          <w:sz w:val="24"/>
          <w:szCs w:val="24"/>
        </w:rPr>
        <w:t xml:space="preserve">ИК – Изменение климата</w:t>
      </w:r>
    </w:p>
    <w:p>
      <w:pPr>
        <w:spacing w:after="120"/>
        <w:jc w:val="both"/>
      </w:pPr>
      <w:r>
        <w:rPr>
          <w:rFonts w:ascii="Arial" w:cs="Arial" w:eastAsia="Arial" w:hAnsi="Arial"/>
          <w:sz w:val="24"/>
          <w:szCs w:val="24"/>
        </w:rPr>
        <w:t xml:space="preserve">КРС – Крупно-рогатый скот</w:t>
      </w:r>
    </w:p>
    <w:p>
      <w:pPr>
        <w:spacing w:after="120"/>
        <w:jc w:val="both"/>
      </w:pPr>
      <w:r>
        <w:rPr>
          <w:rFonts w:ascii="Arial" w:cs="Arial" w:eastAsia="Arial" w:hAnsi="Arial"/>
          <w:sz w:val="24"/>
          <w:szCs w:val="24"/>
        </w:rPr>
        <w:t xml:space="preserve">ЛХ –Лесное хозяйство</w:t>
      </w:r>
    </w:p>
    <w:p>
      <w:pPr>
        <w:spacing w:after="120"/>
        <w:jc w:val="both"/>
      </w:pPr>
      <w:r>
        <w:rPr>
          <w:rFonts w:ascii="Arial" w:cs="Arial" w:eastAsia="Arial" w:hAnsi="Arial"/>
          <w:sz w:val="24"/>
          <w:szCs w:val="24"/>
        </w:rPr>
        <w:t xml:space="preserve">МРС – Мелко-рогатый скот</w:t>
      </w:r>
    </w:p>
    <w:p>
      <w:pPr>
        <w:spacing w:after="120"/>
        <w:jc w:val="both"/>
      </w:pPr>
      <w:r>
        <w:rPr>
          <w:rFonts w:ascii="Arial" w:cs="Arial" w:eastAsia="Arial" w:hAnsi="Arial"/>
          <w:sz w:val="24"/>
          <w:szCs w:val="24"/>
        </w:rPr>
        <w:t xml:space="preserve">ПК – Пастбищный Комитет</w:t>
      </w:r>
    </w:p>
    <w:p>
      <w:pPr>
        <w:spacing w:after="120"/>
        <w:jc w:val="both"/>
      </w:pPr>
      <w:r>
        <w:rPr>
          <w:rFonts w:ascii="Arial" w:cs="Arial" w:eastAsia="Arial" w:hAnsi="Arial"/>
          <w:sz w:val="24"/>
          <w:szCs w:val="24"/>
        </w:rPr>
        <w:t xml:space="preserve">ПИО – Пункт искусственного осеменения</w:t>
      </w:r>
    </w:p>
    <w:p>
      <w:pPr>
        <w:spacing w:after="120"/>
        <w:jc w:val="both"/>
      </w:pPr>
      <w:r>
        <w:rPr>
          <w:rFonts w:ascii="Arial" w:cs="Arial" w:eastAsia="Arial" w:hAnsi="Arial"/>
          <w:sz w:val="24"/>
          <w:szCs w:val="24"/>
        </w:rPr>
        <w:t xml:space="preserve">ОФ – Общественный фонд</w:t>
      </w:r>
    </w:p>
    <w:p>
      <w:pPr>
        <w:spacing w:after="120"/>
        <w:jc w:val="both"/>
      </w:pPr>
      <w:r>
        <w:rPr>
          <w:rFonts w:ascii="Arial" w:cs="Arial" w:eastAsia="Arial" w:hAnsi="Arial"/>
          <w:sz w:val="24"/>
          <w:szCs w:val="24"/>
        </w:rPr>
        <w:t xml:space="preserve">УГ – Условная голова</w:t>
      </w:r>
    </w:p>
    <w:p>
      <w:pPr>
        <w:spacing w:after="120"/>
        <w:jc w:val="both"/>
      </w:pPr>
      <w:r>
        <w:rPr>
          <w:rFonts w:ascii="Arial" w:cs="Arial" w:eastAsia="Arial" w:hAnsi="Arial"/>
          <w:sz w:val="24"/>
          <w:szCs w:val="24"/>
        </w:rPr>
        <w:t xml:space="preserve">СПП-Сообщество пастбище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План сообществ по управлению пастбищами, составленный Объединением пастбищепользователей Жапалакского территориального управления сёл (ТУС), рассматривает мероприятия по реализации рабочих планов данного Пастбищного комитета по улучшению пастбищных угодий Жапалакского ТУС.
 Жапалакский ТУС расположен на расстоянии 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Столицы Республики Областного центра Районного центра Железной дороги Аэропорта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км 7 км 30 км 10 км 15 км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Физико-географическая характеристика.</w:t>
      </w:r>
    </w:p>
    <w:p>
      <w:pPr>
        <w:spacing w:after="240"/>
        <w:jc w:val="both"/>
      </w:pPr>
      <w:r>
        <w:rPr>
          <w:rFonts w:ascii="Arial" w:cs="Arial" w:eastAsia="Arial" w:hAnsi="Arial"/>
          <w:sz w:val="24"/>
          <w:szCs w:val="24"/>
        </w:rPr>
        <w:t xml:space="preserve">В целом климат на территории Жапалакского ТУС умеренный. Теплое лето меняется относительно мягкой зимой. Высотные отметки температуры в холодные дни приходятся на январь, а в теплые дни на июль месяцы. Абсолютный минимум температуры воздуха достигает от-20 до -150 С, абсолютный максимум от +70до+400С.</w:t>
      </w:r>
    </w:p>
    <w:p>
      <w:pPr>
        <w:spacing w:after="120"/>
        <w:jc w:val="both"/>
      </w:pPr>
      <w:r>
        <w:rPr>
          <w:rFonts w:ascii="Arial" w:cs="Arial" w:eastAsia="Arial" w:hAnsi="Arial"/>
          <w:sz w:val="24"/>
          <w:szCs w:val="24"/>
        </w:rPr>
        <w:t xml:space="preserve">Таблица 1.</w:t>
      </w:r>
    </w:p>
    <w:p>
      <w:pPr>
        <w:spacing w:after="120"/>
        <w:jc w:val="center"/>
      </w:pPr>
      <w:r>
        <w:rPr>
          <w:rFonts w:ascii="Arial" w:cs="Arial" w:eastAsia="Arial" w:hAnsi="Arial"/>
          <w:b/>
          <w:bCs/>
          <w:sz w:val="24"/>
          <w:szCs w:val="24"/>
        </w:rPr>
        <w:t xml:space="preserve">Социально-экономическая характеристика Жапалакского ТУ</w:t>
      </w:r>
      <w:r>
        <w:rPr>
          <w:rFonts w:ascii="Arial" w:cs="Arial" w:eastAsia="Arial" w:hAnsi="Arial"/>
          <w:b/>
          <w:bCs/>
          <w:sz w:val="24"/>
          <w:szCs w:val="24"/>
        </w:rPr>
        <w:t xml:space="preserve">С</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5026"/>
        <w:gridCol w:w="2521"/>
        <w:gridCol w:w="1926"/>
      </w:tblGrid>
      <w:tr>
        <w:tc>
          <w:tcPr>
            <w:tcW w:type="dxa" w:w="7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w:t>
            </w:r>
          </w:p>
        </w:tc>
        <w:tc>
          <w:tcPr>
            <w:tcW w:type="dxa" w:w="2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1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населения</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30887</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дворов</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территории ТУС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Кв.км.</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пахотных земель</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поливные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богарные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земельных наделов: </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поливные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богарные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Приусадебные земли</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пастбищ</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зимние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весенние и осенние </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посевных земель, в т.ч.:</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1949</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В.том числе: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яровая пшеница</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озимая пщеница</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яровая ячмень</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озимая ячмень</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9481</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16174</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разработки плана.</w:t>
      </w:r>
    </w:p>
    <w:p>
      <w:pPr>
        <w:spacing w:after="240"/>
        <w:jc w:val="both"/>
      </w:pPr>
      <w:r>
        <w:rPr>
          <w:rFonts w:ascii="Arial" w:cs="Arial" w:eastAsia="Arial" w:hAnsi="Arial"/>
          <w:sz w:val="24"/>
          <w:szCs w:val="24"/>
        </w:rPr>
        <w:t xml:space="preserve">В целях уменьшения вреда и потерь, которые наносят негативное влияние на природный комплекс пастбищных угодий, увеличения их продуктивности разрабатывается план управления пастбищами. План служит для координации деятельности соответствующих заинтересованных сторон. Пятилетний План сообществ по управлению пастбищами, составленный Объединением пастбищепользователей Жапалакского территориального управления сёл, рассматривает необходимые мероприятия по реализации рабочих планов данного Пастбищного комитета по улучшению пастбищных угодий Жапалакского ТУС.
 Согласно закону Кыргызской Республики “О пастбищах” был создан Пастбищный Комитет Жапалакского ТУС и 27 января 2010 г., прошел регистрацию в Ошском областном управлении юстиции как юридическое лицо. </w:t>
      </w:r>
    </w:p>
    <w:p>
      <w:pPr>
        <w:spacing w:after="120"/>
        <w:jc w:val="both"/>
      </w:pPr>
      <w:r>
        <w:rPr>
          <w:rFonts w:ascii="Arial" w:cs="Arial" w:eastAsia="Arial" w:hAnsi="Arial"/>
          <w:sz w:val="24"/>
          <w:szCs w:val="24"/>
        </w:rPr>
        <w:t xml:space="preserve">Краткая информация об Объединении пастбищепользователей (ОПП) Жапалакского ТУ</w:t>
      </w:r>
      <w:r>
        <w:rPr>
          <w:rFonts w:ascii="Arial" w:cs="Arial" w:eastAsia="Arial" w:hAnsi="Arial"/>
          <w:sz w:val="24"/>
          <w:szCs w:val="24"/>
        </w:rPr>
        <w:t xml:space="preserve">С</w:t>
      </w:r>
    </w:p>
    <w:p>
      <w:pPr>
        <w:spacing w:after="240"/>
        <w:jc w:val="both"/>
      </w:pPr>
      <w:r>
        <w:rPr>
          <w:rFonts w:ascii="Arial" w:cs="Arial" w:eastAsia="Arial" w:hAnsi="Arial"/>
          <w:sz w:val="24"/>
          <w:szCs w:val="24"/>
        </w:rPr>
        <w:t xml:space="preserve">Объединение пастбище пользователей Жапалакского ТУС является органом территориального общественного самоуправления Жапалакского ТУС.
 ОПП – это объединение, созданное по собственному желанию населения Жапалакского ТУС.
 В 2009 году 15 сентября на внеочередной сессии депутатов Жапалакского сельского совета было принято постановление “О создании объединения пастбищепользователей”. В этом постановлении были утверждены, согласно решению общего собрания населения Жаплакского УС, Устав Объединения пастбищепользователей, состав Пастбищного комитета и состав ревизионной комиссии.
 Председателем Пастбищного комитета избран: Салиев А. и главным бухгалтером назначена Ташбаева Ч. 
 ОПП, находясь на территории Жапалакского УС, осуществляет деятельность на всей территории Жапалакского УС г.Ош. 
 – Срок действия ОПП не ограничен.
 ОПП–является некоммерческой организацией. Организационно-правовой формой ОПП является территориально-общественное самоуправление (ТОС).
 ОПП со дня прохождения государственной регистрации получает статус,права и обязанности юридического лица, может выступать ответчиком либо истцом на судебном заседании. 
 Имеется печать с названием ОПП, штамп на кыргызском и русском языках, расчетный и грантовый банковские счета .
 Юридический адрес ОПП: город Ош, Жапалакский УС, село Керме-Тоо, улица Каримова №1, моб.тел. 0777577720
 Банковские реквизиты БИК (МФО) 129057. Расчетные счета: 1290573230020909, ОКПО 27319557, ИНН0 01802201110271. Рег. Г.Ош “РСК”БАНК.
 Высшим управляющим органом ОПП является общее собрание пастбищепользователей.
 Исполнительный орган ОПП – Пастбищный комитет.
 Ревизионная комиссия ОПП является ревизионно-контролирующим органом.
 Членами ОПП могут выступить – пастбищепользователи Жапалакского УС.
 Председатель ПК: Салиев А.
 Бухгалтер ПК: Ташбаева Ч.</w:t>
      </w:r>
    </w:p>
    <w:p>
      <w:pPr>
        <w:spacing w:after="120"/>
        <w:jc w:val="both"/>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Состав Пастбищного комитета Жапалакского ТУС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4129"/>
        <w:gridCol w:w="5033"/>
      </w:tblGrid>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Эшманов Санжарбек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Жапалакского ТУС</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Салиев Акылбек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ОПП</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 Сайит</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Боронбаев Махмуд</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Акматов Шералы</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 </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Кулматов Исраил</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Ажиев Султангазы</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Назаралиев Абдрашит</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Арзиев Нуралы</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Исмаилов Чоюш</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Осмонов Сабыр</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Конурбаев Турат</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Омошов Абдилашим</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Мангиев Максатбек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Абдыкаимов Кубанычбек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Сатыбалдиев Каримжан</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Абдыкадыров Абдимитал</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bl>
    <w:p>
      <w:pPr>
        <w:spacing w:after="120"/>
        <w:jc w:val="both"/>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Состав Ревизионной комисии: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2"/>
        <w:gridCol w:w="4100"/>
        <w:gridCol w:w="5017"/>
      </w:tblGrid>
      <w:tr>
        <w:tc>
          <w:tcPr>
            <w:tcW w:type="dxa" w:w="10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Маматалиева Махбурат</w:t>
            </w:r>
          </w:p>
        </w:tc>
        <w:tc>
          <w:tcPr>
            <w:tcW w:type="dxa" w:w="5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Осмонов Сабыр</w:t>
            </w:r>
          </w:p>
        </w:tc>
        <w:tc>
          <w:tcPr>
            <w:tcW w:type="dxa" w:w="5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комисии </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 Сайипназар</w:t>
            </w:r>
          </w:p>
        </w:tc>
        <w:tc>
          <w:tcPr>
            <w:tcW w:type="dxa" w:w="5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Уточнение списка общего поголовья скота</w:t>
      </w:r>
    </w:p>
    <w:p>
      <w:pPr>
        <w:spacing w:after="240"/>
        <w:jc w:val="both"/>
      </w:pPr>
      <w:r>
        <w:rPr>
          <w:rFonts w:ascii="Arial" w:cs="Arial" w:eastAsia="Arial" w:hAnsi="Arial"/>
          <w:sz w:val="24"/>
          <w:szCs w:val="24"/>
        </w:rPr>
        <w:t xml:space="preserve">Список пастбищепользователей, составленный при проведении учета поголовья скота Жапалакского ПК на территории Жапалакского ТУС, представлен в приложении 1. 
  В этот список вошли лишь те, которые выходят на пастбища со своим скотом, т.е. крупные скотовладельцы и фермеры, которые изначально имеют свои кошары на пастбищах. Кроме этого, есть много чабанов, которые пасут скот населения на коммерческой основе, некоторые из них не включены в список в силу разных причин. Соответственно и поголовье скота на пастбищах не полностью было учтено. Поэтому список пастбищепользователей необходимо еще уточнять. Наряду с имеющимся скотом много скота приходят из соседних сел. Местные чабаны берут скот из соседних сел и выпасают на пастбищах Жапалакского ТУС, поголовье которого на сегодняшний день неизвестно.
 В нижеследующей таблице 4 показано поголовье скота, полученное в результате проведенного учета в 2019 г.Жапалакского ПК. Уточненный список пастбищепользователей прилагается к плану (приложение 1). Таблица 4</w:t>
      </w:r>
    </w:p>
    <w:p>
      <w:pPr>
        <w:spacing w:after="240" w:before="200"/>
        <w:jc w:val="center"/>
      </w:pPr>
      <w:r>
        <w:rPr>
          <w:rFonts w:ascii="Arial" w:cs="Arial" w:eastAsia="Arial" w:hAnsi="Arial"/>
          <w:b/>
          <w:bCs/>
          <w:sz w:val="32"/>
          <w:szCs w:val="32"/>
        </w:rPr>
        <w:t xml:space="preserve">Поголовье скота в Жапалакского ТУС</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0"/>
        <w:gridCol w:w="2077"/>
        <w:gridCol w:w="1766"/>
        <w:gridCol w:w="3635"/>
      </w:tblGrid>
      <w:tr>
        <w:tc>
          <w:tcPr>
            <w:tcW w:type="dxa" w:w="27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ТУС</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1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 и КОЗЫ</w:t>
            </w:r>
          </w:p>
        </w:tc>
        <w:tc>
          <w:tcPr>
            <w:tcW w:type="dxa" w:w="36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r>
      <w:tr>
        <w:tc>
          <w:tcPr>
            <w:tcW w:type="dxa" w:w="2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20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9005</w:t>
            </w:r>
          </w:p>
        </w:tc>
        <w:tc>
          <w:tcPr>
            <w:tcW w:type="dxa" w:w="17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14910</w:t>
            </w:r>
          </w:p>
        </w:tc>
        <w:tc>
          <w:tcPr>
            <w:tcW w:type="dxa" w:w="3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649</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этой связи, до составления годового плана ПК по использованию пастбищ необходимо уточнить, хотя бы приблизительный процент скрытого поголовья скота. Для этого были взяты во внимание мнения пастбищепользователей. Полученная процентная разница будет учитываться при распределении скота в соответствии емкостям пастбищных участков.
  В следующей таблице показана процентная разница неучтенного поголовья скота</w:t>
      </w:r>
    </w:p>
    <w:p>
      <w:pPr>
        <w:spacing w:after="120"/>
        <w:jc w:val="both"/>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Уточнение общего поголовья скота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0"/>
        <w:gridCol w:w="2173"/>
        <w:gridCol w:w="2290"/>
        <w:gridCol w:w="2056"/>
      </w:tblGrid>
      <w:tr>
        <w:tc>
          <w:tcPr>
            <w:tcW w:type="dxa" w:w="36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 согласно учету ПК</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 согласно стат. данным</w:t>
            </w:r>
          </w:p>
        </w:tc>
        <w:tc>
          <w:tcPr>
            <w:tcW w:type="dxa" w:w="2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9481</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14910</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Поголовье скота даже по статистике указывается больше на 3,5%, в сравнении с данными учёта Пастбищного комитета. В 2017 году ПК Жапалакского ТУС произвёл сбор платы за использование пастбищ исходя только из того поголовья, которое состоит на учёте ПК. В связи с чем, много скота выпасалось без оплаты пастбищного билета. 
 Следует отметить, что люди не оглашают точный список своего скота из-за низкой осведомлённости о деятельности ПК. В основном скрывают поголовье крупнорогатого скота и лошадей. А мелко рогатый скот уточняется намного легче, их можно посчитать у каждого чабана, сколько овец и коз по их списку. 
  В свете такого опыта Жапалакского ПК извлёк урок, теперь в 2019 г. он планирует произвести учёт поголовья крупнорогатого скота по каждому двору. Раньше список составлялся только у чабанов, которые берут у людей скот на коммерческой основе и выпасают на пастбищах.
  Таким, образом, можно существенно приблизить учётное поголовье к реальному количеству скота. Также ПК при подсчёте стоимости пастбищного билета должен чётко знать поголовье скота, которое идёт на пастбища соседних сел. Но в Жапалакском ТУС поголовье скота только на территории Жапалакского ТУС. В настоящее время нет пастбище пользователи, которые отказываются от оплаты пастбищного билета ПК. Это они обосновывают тем, что выпасают скот на пастбищах соседних сел. Но не всегда это совпадает с фактическим положением дел. В целях решения этой проблемы необходимо вплотную сотрудничать с ПК соседних УАА и обмениваться информацией, а также заключать соответствующие договора. 
 Теперь Жапалакский ПК решил произвести сбор оплаты за использование пастбищ за КРС с МРС каждого скотовладельца.
  Исходя из таблицы 5, люди скрывают приблизительно 3.5 % поголовья скота и не платят за его выпас на пастбищах. Этот процентный показатель нам поможет при составлении плана использования пастбищ, т.е. мы должны добавить этот процент к списку представленного поголовья скота, который имеется у ПК. Главная цель этой комбинации является правильное определение нагрузки на пастбища.
 Перевод количества различных видов животных в "условное поголовье"
  Условная голова – это условный коэффициент пересчета различных видов скота в одну условную единицу. Для перевода в условную голову (УГ) используется коэффициенты утвержденные постановлением №386 Правительства Кыргызской Республики от 2009 года.
  Также условную голову можно посчитать согласно живому весу скота. В таком расчете коэффиценты различных видов скота подсчитываются относительно весу одной коровы. Поэтому живой вес каждого вида скота делится на средний живой вес коровы в условиях Кыргызстана. Например, по Кыргызстану средний вес одной коровы составляет 300 кг. Таким образом мы можем вычислить коэффициенты перевода в УГ для каждого вида скота, как показано в нижеследующей таблице. </w:t>
      </w:r>
    </w:p>
    <w:p>
      <w:pPr>
        <w:spacing w:after="120"/>
        <w:jc w:val="both"/>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Расчет коэффициента перевода в УГ согласно живого веса скота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9"/>
        <w:gridCol w:w="1691"/>
        <w:gridCol w:w="1499"/>
        <w:gridCol w:w="3749"/>
      </w:tblGrid>
      <w:tr>
        <w:tc>
          <w:tcPr>
            <w:tcW w:type="dxa" w:w="32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16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w:t>
            </w:r>
          </w:p>
        </w:tc>
        <w:tc>
          <w:tcPr>
            <w:tcW w:type="dxa" w:w="3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в УГ</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КРС</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КРС</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Быки</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Жапалакском УС поголовье скота переведено в УГ с использованием коэффицинтов перевода, указанным в поставновлении. Лишь лошади переводятся в УГ коэффициентом 1,2. До сегодняшнего дня ПК проводил подсчёт лошадей в УГ этим коэффициентом, и на текущий год оставили данный коэффициент. 
 Коэффициенты перевода в Условную голову (УГ):
 Крупно рогатый скот, большие -1
 Крупно рогатый скот, молодняки - 0,7
 Овцы/козы – 0,2
 Лошади/ослы – 1
 Верблюды– 1</w:t>
      </w:r>
    </w:p>
    <w:p>
      <w:pPr>
        <w:spacing w:after="120"/>
        <w:jc w:val="both"/>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Перевод поголовья скота в условную голову (УГ)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1"/>
        <w:gridCol w:w="2241"/>
        <w:gridCol w:w="2189"/>
        <w:gridCol w:w="2737"/>
      </w:tblGrid>
      <w:tr>
        <w:tc>
          <w:tcPr>
            <w:tcW w:type="dxa" w:w="30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2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w:t>
            </w:r>
          </w:p>
        </w:tc>
        <w:tc>
          <w:tcPr>
            <w:tcW w:type="dxa" w:w="2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в УГ</w:t>
            </w:r>
          </w:p>
        </w:tc>
        <w:tc>
          <w:tcPr>
            <w:tcW w:type="dxa" w:w="2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 в.т.ч. коровы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6866</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6866</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 в.т.ч. молодняк</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16174</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3235</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24564</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12434</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Пастбищный комитет производит учёт поголовья скот в начале года, но люди в течение года покупают или продают скота, таким образом, наблюдается изменение в поголовье. 
 Как указано в таблице 5, поголовье скота было на 7 % больше. Используя, этот процент мы умножаем количество скота, которое есть в списке ПК, для его уточнения. Таким образом, мы точнее определили, что в Жапалакском УС имеется 12434 УГ скота.</w:t>
      </w:r>
    </w:p>
    <w:p>
      <w:pPr>
        <w:spacing w:after="120"/>
        <w:jc w:val="both"/>
      </w:pPr>
      <w:r>
        <w:rPr>
          <w:rFonts w:ascii="Arial" w:cs="Arial" w:eastAsia="Arial" w:hAnsi="Arial"/>
          <w:sz w:val="24"/>
          <w:szCs w:val="24"/>
        </w:rPr>
        <w:t xml:space="preserve">Кормопроизводство на уровне ТУ</w:t>
      </w:r>
      <w:r>
        <w:rPr>
          <w:rFonts w:ascii="Arial" w:cs="Arial" w:eastAsia="Arial" w:hAnsi="Arial"/>
          <w:sz w:val="24"/>
          <w:szCs w:val="24"/>
        </w:rPr>
        <w:t xml:space="preserve">С</w:t>
      </w:r>
    </w:p>
    <w:p>
      <w:pPr>
        <w:spacing w:after="240"/>
        <w:jc w:val="both"/>
      </w:pPr>
      <w:r>
        <w:rPr>
          <w:rFonts w:ascii="Arial" w:cs="Arial" w:eastAsia="Arial" w:hAnsi="Arial"/>
          <w:sz w:val="24"/>
          <w:szCs w:val="24"/>
        </w:rPr>
        <w:t xml:space="preserve">В условиях Кыргызстана мы используем следующие показатели продуктивности кормовых культур. Таблица 8</w:t>
      </w:r>
    </w:p>
    <w:p>
      <w:pPr>
        <w:spacing w:after="240" w:before="200"/>
        <w:jc w:val="center"/>
      </w:pPr>
      <w:r>
        <w:rPr>
          <w:rFonts w:ascii="Arial" w:cs="Arial" w:eastAsia="Arial" w:hAnsi="Arial"/>
          <w:b/>
          <w:bCs/>
          <w:sz w:val="32"/>
          <w:szCs w:val="32"/>
        </w:rPr>
        <w:t xml:space="preserve">Средняя урожайность кормовых культур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4"/>
        <w:gridCol w:w="5004"/>
      </w:tblGrid>
      <w:tr>
        <w:tc>
          <w:tcPr>
            <w:tcW w:type="dxa" w:w="5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корма</w:t>
            </w:r>
          </w:p>
        </w:tc>
        <w:tc>
          <w:tcPr>
            <w:tcW w:type="dxa" w:w="50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(сухая масса) т/га</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Эспарцет, люцерна</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ячменя</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пшеницы</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кукурузы </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Овёс</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Суточное потребление корма зависит от веса животного, возраста, физиологического состояния и составляет от 2,5 до 4% от живого веса. 
 Взрослые жвачные животные в сутки потребляют сухого вещества в среднем примерно 2,5 % от общей живой массы. Если живой вес одной коровы составляет 300 кг, 2,5% веса будет 7,5кг сухого вещества (300*2,5%=7,5 кг).
  Зная количество потребляемого сухого вещества можно подсчитать, сколько корма понадобится для обеспечения поголовья скота на уровне Жапалакского ТУС.</w:t>
      </w:r>
    </w:p>
    <w:p>
      <w:pPr>
        <w:spacing w:after="120"/>
        <w:jc w:val="both"/>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Расчет текущего кормопроизводства.Заготовка кормов</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1165"/>
        <w:gridCol w:w="1057"/>
        <w:gridCol w:w="1257"/>
        <w:gridCol w:w="2023"/>
        <w:gridCol w:w="2130"/>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корма</w:t>
            </w:r>
          </w:p>
        </w:tc>
        <w:tc>
          <w:tcPr>
            <w:tcW w:type="dxa" w:w="1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w:t>
            </w:r>
          </w:p>
          <w:p>
            <w:pPr>
              <w:jc w:val="left"/>
            </w:pPr>
            <w:r>
              <w:rPr>
                <w:rFonts w:ascii="Arial" w:cs="Arial" w:eastAsia="Arial" w:hAnsi="Arial"/>
                <w:sz w:val="24"/>
                <w:szCs w:val="24"/>
              </w:rPr>
              <w:t xml:space="preserve">(сухой вес)</w:t>
            </w:r>
          </w:p>
          <w:p>
            <w:pPr>
              <w:jc w:val="left"/>
            </w:pPr>
            <w:r>
              <w:rPr>
                <w:rFonts w:ascii="Arial" w:cs="Arial" w:eastAsia="Arial" w:hAnsi="Arial"/>
                <w:sz w:val="24"/>
                <w:szCs w:val="24"/>
              </w:rPr>
              <w:t xml:space="preserve">кг/га</w:t>
            </w:r>
          </w:p>
        </w:tc>
        <w:tc>
          <w:tcPr>
            <w:tcW w:type="dxa" w:w="10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пашни,</w:t>
            </w:r>
          </w:p>
          <w:p>
            <w:pPr>
              <w:jc w:val="left"/>
            </w:pPr>
            <w:r>
              <w:rPr>
                <w:rFonts w:ascii="Arial" w:cs="Arial" w:eastAsia="Arial" w:hAnsi="Arial"/>
                <w:sz w:val="24"/>
                <w:szCs w:val="24"/>
              </w:rPr>
              <w:t xml:space="preserve">га</w:t>
            </w:r>
          </w:p>
        </w:tc>
        <w:tc>
          <w:tcPr>
            <w:tcW w:type="dxa" w:w="1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урожай-ность,т.</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Ежедневная потребность в кормах (сухое вещество),</w:t>
            </w:r>
          </w:p>
          <w:p>
            <w:pPr>
              <w:jc w:val="left"/>
            </w:pPr>
            <w:r>
              <w:rPr>
                <w:rFonts w:ascii="Arial" w:cs="Arial" w:eastAsia="Arial" w:hAnsi="Arial"/>
                <w:sz w:val="24"/>
                <w:szCs w:val="24"/>
              </w:rPr>
              <w:t xml:space="preserve">Кг./УГ</w:t>
            </w:r>
          </w:p>
        </w:tc>
        <w:tc>
          <w:tcPr>
            <w:tcW w:type="dxa" w:w="2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дней, в течение которых можно прокормить 1 УГ, День </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пшеницы, ячменя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0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2206</w:t>
            </w:r>
          </w:p>
        </w:tc>
        <w:tc>
          <w:tcPr>
            <w:tcW w:type="dxa" w:w="20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61333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Солома кукуруза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c>
          <w:tcPr>
            <w:tcW w:type="dxa" w:w="10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636</w:t>
            </w:r>
          </w:p>
        </w:tc>
        <w:tc>
          <w:tcPr>
            <w:tcW w:type="dxa" w:w="1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1590</w:t>
            </w:r>
          </w:p>
        </w:tc>
        <w:tc>
          <w:tcPr>
            <w:vMerge w:val="continue"/>
            <w:tcBorders>
              <w:top w:val="none" w:color="auto" w:sz="0"/>
              <w:left w:val="none" w:color="auto" w:sz="0"/>
              <w:bottom w:val="single" w:color="CBBF9E" w:sz="4"/>
              <w:right w:val="single" w:color="CBBF9E" w:sz="4"/>
            </w:tcBorders>
          </w:tcP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266666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666</w:t>
            </w:r>
          </w:p>
        </w:tc>
      </w:tr>
      <w:tr>
        <w:tc>
          <w:tcPr>
            <w:tcW w:type="dxa" w:w="60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дней кормление с рук</w:t>
            </w:r>
          </w:p>
        </w:tc>
        <w:tc>
          <w:tcPr>
            <w:vMerge w:val="continue"/>
            <w:tcBorders>
              <w:top w:val="none" w:color="auto" w:sz="0"/>
              <w:left w:val="none" w:color="auto" w:sz="0"/>
              <w:bottom w:val="single" w:color="CBBF9E" w:sz="4"/>
              <w:right w:val="single" w:color="CBBF9E" w:sz="4"/>
            </w:tcBorders>
          </w:tcP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648665</w:t>
            </w:r>
          </w:p>
        </w:tc>
      </w:tr>
      <w:tr>
        <w:tc>
          <w:tcPr>
            <w:tcW w:type="dxa" w:w="60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 корма. 4865</w:t>
            </w:r>
          </w:p>
        </w:tc>
        <w:tc>
          <w:tcPr>
            <w:tcW w:type="dxa" w:w="41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Концентратные корма, переведенные на грубый корм, по перерасчету 1 кг концентратного равна 2 грубого корма. Расчеты приведены в таблице 9а.</w:t>
      </w:r>
    </w:p>
    <w:p>
      <w:pPr>
        <w:spacing w:after="120"/>
        <w:jc w:val="both"/>
      </w:pPr>
      <w:r>
        <w:rPr>
          <w:rFonts w:ascii="Arial" w:cs="Arial" w:eastAsia="Arial" w:hAnsi="Arial"/>
          <w:sz w:val="24"/>
          <w:szCs w:val="24"/>
        </w:rPr>
        <w:t xml:space="preserve">Таблица 9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концентратного корма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кг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Воздействие</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на кормовую единицу</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 В</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люцерны</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люцерны Г х 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Кукуруза на зерно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6385600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3192800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125925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Жмых хлопчатника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3295725</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таблице 7 общее поголовье скота в Жаплакском ТУС составило 12434 УГ. Весь объем заготавливаемого корма хватает для того, что бы прокормить 5003 УГ в течение 247 дней. Но стойловое содержание в зимний период не продолжается до 155 дней, фактически оно короче на 15-20-дней. Но все же проблема остаётся, для решения нужно принимать соответствующие меры, для этого необходимо сделать следующие мероприятия:
 Пути решения: 
 ü Для повышения урожая зимних кормов необходимо организовать полив сенокосных угодий и необходимо внесение органических удобрений (навоз и пр.).
 ü Продолжить практику покупки недостающего объёма зимних кормов:
 oБольшинство населения покупают корм из Узгенского района Ошской области и Сузакского района Жалал-Абадской области
 o В советское время площадь сенокосов была большая, после развала многие фермеры взяли их под освоение и успели приватизировать. На этих участках организовывают абрикосовые сады, а корм покупают за счёт вырученных денег от абрикосовых садов в Узгенском районе Ошской области и из Сузакского района Жалал-Абадской области.o</w:t>
      </w:r>
    </w:p>
    <w:p>
      <w:pPr>
        <w:spacing w:after="120"/>
        <w:jc w:val="both"/>
      </w:pPr>
      <w:r>
        <w:rPr>
          <w:rFonts w:ascii="Arial" w:cs="Arial" w:eastAsia="Arial" w:hAnsi="Arial"/>
          <w:sz w:val="24"/>
          <w:szCs w:val="24"/>
        </w:rPr>
        <w:t xml:space="preserve">Определение продуктивности и емкости пастбищ</w:t>
      </w:r>
    </w:p>
    <w:p>
      <w:pPr>
        <w:spacing w:after="240"/>
        <w:jc w:val="both"/>
      </w:pPr>
      <w:r>
        <w:rPr>
          <w:rFonts w:ascii="Arial" w:cs="Arial" w:eastAsia="Arial" w:hAnsi="Arial"/>
          <w:sz w:val="24"/>
          <w:szCs w:val="24"/>
        </w:rPr>
        <w:t xml:space="preserve">На территории отобранных участков для определения продуктивности пастбищ ПК скосил травянистую поверхность на 1 мкв. После чего, представители пастбищного комитета разделили зелёную массу на две части, поедаемую и недоедаемую. 
 Взвесив каждую часть, определили массу и записали данные на специально подготовленном информационном листе для мониторинга. 
 На очередном обучающем семинаре по разработке плана управления пастбищами сотрудники ОФ САМР Ала-Тоо обучили ПК и пастбище пользователей методу расчёта ёмкости пастбищ, с использованием данных мониторинга пастбищ, проведённого в летнее время (табл. 10).</w:t>
      </w:r>
    </w:p>
    <w:p>
      <w:pPr>
        <w:spacing w:after="120"/>
        <w:jc w:val="both"/>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Определение емкости пастбищных участков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
        <w:gridCol w:w="760"/>
        <w:gridCol w:w="784"/>
        <w:gridCol w:w="752"/>
        <w:gridCol w:w="752"/>
        <w:gridCol w:w="1062"/>
        <w:gridCol w:w="1372"/>
        <w:gridCol w:w="850"/>
        <w:gridCol w:w="694"/>
        <w:gridCol w:w="694"/>
        <w:gridCol w:w="1699"/>
      </w:tblGrid>
      <w:tr>
        <w:tc>
          <w:tcPr>
            <w:tcW w:type="dxa" w:w="152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пастбищного участка</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пастбищ, га</w:t>
            </w:r>
          </w:p>
        </w:tc>
        <w:tc>
          <w:tcPr>
            <w:tcW w:type="dxa" w:w="15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СВ(суховещества кг/га)</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урожайность СВ (кг)
 (2 х 3)</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стравлива-ния, 60% (4 х 0,6)</w:t>
            </w:r>
          </w:p>
        </w:tc>
        <w:tc>
          <w:tcPr>
            <w:tcW w:type="dxa" w:w="8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УГ (5/7,5 кг)</w:t>
            </w:r>
          </w:p>
        </w:tc>
        <w:tc>
          <w:tcPr>
            <w:tcW w:type="dxa" w:w="13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Потребность 1 УГ в день, 7,5кг</w:t>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Ёмкость пастбищ, УГ</w:t>
            </w:r>
          </w:p>
        </w:tc>
      </w:tr>
      <w:tr>
        <w:tc>
          <w:tcPr>
            <w:tcW w:type="dxa" w:w="152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9"/>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Весна</w:t>
            </w:r>
          </w:p>
        </w:tc>
      </w:tr>
      <w:tr>
        <w:tc>
          <w:tcPr>
            <w:tcW w:type="dxa" w:w="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198400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119040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15872</w:t>
            </w:r>
          </w:p>
        </w:tc>
        <w:tc>
          <w:tcPr>
            <w:tcW w:type="dxa" w:w="13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Озгур</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73600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5888</w:t>
            </w:r>
          </w:p>
        </w:tc>
        <w:tc>
          <w:tcPr>
            <w:tcW w:type="dxa" w:w="13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10179"/>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Лето</w:t>
            </w:r>
          </w:p>
        </w:tc>
      </w:tr>
      <w:tr>
        <w:tc>
          <w:tcPr>
            <w:tcW w:type="dxa" w:w="152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8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1414530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848718</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r>
      <w:tr>
        <w:tc>
          <w:tcPr>
            <w:tcW w:type="dxa" w:w="152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8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706800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424080</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r>
      <w:tr>
        <w:tc>
          <w:tcPr>
            <w:tcW w:type="dxa" w:w="7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Емкость пастбищ определяется по специальной формуле:
 При этом учитывается:
 Б – масса поедаемой части зелёной массы 
 0,6 – коэффициент перевода в сухую массу;
 Nга – площадь пастбищного участка;
 0,7 –коэффициент стравливания;
 N кун – количество выпасаемых дней;
 7,5 – объем сухой массы, требуемый 1 УГ в 1 сутки, кг.
 </w:t>
      </w:r>
    </w:p>
    <w:p>
      <w:pPr>
        <w:spacing w:after="120"/>
        <w:jc w:val="both"/>
      </w:pPr>
      <w:r>
        <w:rPr>
          <w:rFonts w:ascii="Arial" w:cs="Arial" w:eastAsia="Arial" w:hAnsi="Arial"/>
          <w:sz w:val="24"/>
          <w:szCs w:val="24"/>
        </w:rPr>
        <w:t xml:space="preserve">План использования пастбищ</w:t>
      </w:r>
    </w:p>
    <w:p>
      <w:pPr>
        <w:spacing w:after="240"/>
        <w:jc w:val="both"/>
      </w:pPr>
      <w:r>
        <w:rPr>
          <w:rFonts w:ascii="Arial" w:cs="Arial" w:eastAsia="Arial" w:hAnsi="Arial"/>
          <w:sz w:val="24"/>
          <w:szCs w:val="24"/>
        </w:rPr>
        <w:t xml:space="preserve"> Поскольку ПК до настоящего времени не проводил мониторинг пастбищ, план использования пастбищ на 2019 год разработан на основе карты, подготовленной ОФ САМР Ала-Тоо. Карта с емкостью пастбищных участков была подготовлена на основе геоботанических данных. Данные являются результатами геоботанической экспедиции организации “КыргызГипрозем”, которая была проведена в 80-х годах. 
 В следующей таблице (табл.11) представлена нагрузка на пастбища при сезонном выпасе скота. Таблица с полным списком пастбищепользователей с их выпасаемым поголовьем скота даны в приложении 1. Таблица 11</w:t>
      </w:r>
    </w:p>
    <w:p>
      <w:pPr>
        <w:spacing w:after="240" w:before="200"/>
        <w:jc w:val="center"/>
      </w:pPr>
      <w:r>
        <w:rPr>
          <w:rFonts w:ascii="Arial" w:cs="Arial" w:eastAsia="Arial" w:hAnsi="Arial"/>
          <w:b/>
          <w:bCs/>
          <w:sz w:val="32"/>
          <w:szCs w:val="32"/>
        </w:rPr>
        <w:t xml:space="preserve">Емость и нагрузка на пастбища Жапалакского ТУС по сезонам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3"/>
        <w:gridCol w:w="800"/>
        <w:gridCol w:w="800"/>
        <w:gridCol w:w="800"/>
        <w:gridCol w:w="753"/>
        <w:gridCol w:w="753"/>
        <w:gridCol w:w="753"/>
        <w:gridCol w:w="652"/>
        <w:gridCol w:w="652"/>
        <w:gridCol w:w="652"/>
        <w:gridCol w:w="700"/>
        <w:gridCol w:w="700"/>
        <w:gridCol w:w="700"/>
      </w:tblGrid>
      <w:tr>
        <w:tc>
          <w:tcPr>
            <w:tcW w:type="dxa" w:w="14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Пастбищные участки</w:t>
            </w:r>
          </w:p>
        </w:tc>
        <w:tc>
          <w:tcPr>
            <w:tcW w:type="dxa" w:w="24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ВЕСНА, 55 дней</w:t>
            </w:r>
          </w:p>
        </w:tc>
        <w:tc>
          <w:tcPr>
            <w:tcW w:type="dxa" w:w="22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ЛЕТО, 120 дней</w:t>
            </w:r>
          </w:p>
        </w:tc>
        <w:tc>
          <w:tcPr>
            <w:tcW w:type="dxa" w:w="195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ОСЕНЬ, 60 дней</w:t>
            </w:r>
          </w:p>
        </w:tc>
        <w:tc>
          <w:tcPr>
            <w:tcW w:type="dxa" w:w="21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ЗИМА, дней</w:t>
            </w:r>
          </w:p>
        </w:tc>
      </w:tr>
      <w:tr>
        <w:tc>
          <w:tcPr>
            <w:vMerge w:val="continue"/>
            <w:tcBorders>
              <w:top w:val="single" w:color="CBBF9E" w:sz="4"/>
              <w:left w:val="single" w:color="CBBF9E" w:sz="4"/>
              <w:bottom w:val="single" w:color="CBBF9E" w:sz="4"/>
              <w:right w:val="single" w:color="CBBF9E" w:sz="4"/>
            </w:tcBorders>
          </w:tcP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0згур</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Адаптация плана использования пастбищ к изменению климата.</w:t>
      </w:r>
    </w:p>
    <w:p>
      <w:pPr>
        <w:spacing w:after="240"/>
        <w:jc w:val="both"/>
      </w:pPr>
      <w:r>
        <w:rPr>
          <w:rFonts w:ascii="Arial" w:cs="Arial" w:eastAsia="Arial" w:hAnsi="Arial"/>
          <w:sz w:val="24"/>
          <w:szCs w:val="24"/>
        </w:rPr>
        <w:t xml:space="preserve">В основном изменение средней температуры воздуха и количество атмосферных осадков вызывают больше опасностей. Эти изменения непременно влияют на растительность. По результатам опроса было получено, что в последние десять лет наблюдаются изменения в составе растительности, кормовых трав становится все меньше. Это отражается на продуктивности пастбищ. Поэтому все больше пастбищепользователей жалуются на ухудшение состояния пастбищ. В связи с этим, нельзя упускать из внимания влияние изменения климата на пастбища при составлении плана выпаса. Учитывая такую тенденцию, Жапалакский ПК при разработке плана использования пастбищ снизил ёмкость пастбищных участков на 10-12%, как отрицательное влияние изменения климата. Планируемая схема использования пастбищ приведена в Приложении (приложение 3). 
  Кроме этого, для адаптации к изменению климата Жапалакский ПК в пятилетнем плане управления пастбищами предусмотрел ряд мероприятий. </w:t>
      </w:r>
    </w:p>
    <w:p>
      <w:pPr>
        <w:spacing w:after="120"/>
        <w:jc w:val="both"/>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Влияние изменения климата на продуктивную емкость пастбищ</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5"/>
        <w:gridCol w:w="3291"/>
        <w:gridCol w:w="3832"/>
      </w:tblGrid>
      <w:tr>
        <w:tc>
          <w:tcPr>
            <w:tcW w:type="dxa" w:w="30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пастбищного участка</w:t>
            </w:r>
          </w:p>
        </w:tc>
        <w:tc>
          <w:tcPr>
            <w:tcW w:type="dxa" w:w="3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Ёмкость пастбищ, УГ</w:t>
            </w:r>
          </w:p>
        </w:tc>
        <w:tc>
          <w:tcPr>
            <w:tcW w:type="dxa" w:w="3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Ёмкость пастбищ, с учётом воздействия изменения климата, УГ</w:t>
            </w:r>
          </w:p>
        </w:tc>
      </w:tr>
      <w:tr>
        <w:tc>
          <w:tcPr>
            <w:vMerge w:val="continue"/>
            <w:tcBorders>
              <w:top w:val="single" w:color="CBBF9E" w:sz="4"/>
              <w:left w:val="single" w:color="CBBF9E" w:sz="4"/>
              <w:bottom w:val="single" w:color="CBBF9E" w:sz="4"/>
              <w:right w:val="single" w:color="CBBF9E" w:sz="4"/>
            </w:tcBorders>
          </w:tcP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Б=А*0,9</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Озгур</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На основе примера Пастбищный Комитет Жапалакского ТУС совместно со своими пастбище пользователями пересчитали емкость пастбищных участков со снижением на 10% (Табл. 13) </w:t>
      </w:r>
    </w:p>
    <w:p>
      <w:pPr>
        <w:spacing w:after="120"/>
        <w:jc w:val="both"/>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Емкость пастбищ с учетом изменения климата (ИК)</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6"/>
        <w:gridCol w:w="998"/>
        <w:gridCol w:w="998"/>
        <w:gridCol w:w="998"/>
        <w:gridCol w:w="998"/>
        <w:gridCol w:w="998"/>
        <w:gridCol w:w="998"/>
        <w:gridCol w:w="998"/>
        <w:gridCol w:w="998"/>
      </w:tblGrid>
      <w:tr>
        <w:tc>
          <w:tcPr>
            <w:tcW w:type="dxa" w:w="219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Пастбищный участок</w:t>
            </w:r>
          </w:p>
        </w:tc>
        <w:tc>
          <w:tcPr>
            <w:tcW w:type="dxa" w:w="39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Ёмкость, УГ</w:t>
            </w:r>
          </w:p>
        </w:tc>
        <w:tc>
          <w:tcPr>
            <w:tcW w:type="dxa" w:w="39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Ёмкость, с учётом влияния ИК</w:t>
            </w:r>
          </w:p>
        </w:tc>
      </w:tr>
      <w:tr>
        <w:tc>
          <w:tcPr>
            <w:vMerge w:val="continue"/>
            <w:tcBorders>
              <w:top w:val="single" w:color="CBBF9E" w:sz="4"/>
              <w:left w:val="single" w:color="CBBF9E" w:sz="4"/>
              <w:bottom w:val="single" w:color="CBBF9E" w:sz="4"/>
              <w:right w:val="single" w:color="CBBF9E" w:sz="4"/>
            </w:tcBorders>
          </w:tcP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Весна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Осень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Весна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Осень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Зима</w:t>
            </w:r>
          </w:p>
        </w:tc>
      </w:tr>
      <w:tr>
        <w:tc>
          <w:tcPr>
            <w:tcW w:type="dxa" w:w="21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Жапалак</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Озгур</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Берки-суу</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943</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848</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Тогуз-Булак</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471</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Затем провели планирование в соответствии с емкостью пастбищных участков, рассчитанной с учетом влияния изменения климата. На участках, где наблюдались высокие нагрузки, ПК предусмотрел мероприятия по перераспределению скота для снижения нагрузки, а также мероприятия по увеличению урожайности пастбищных растений. </w:t>
      </w:r>
    </w:p>
    <w:p>
      <w:pPr>
        <w:spacing w:after="120"/>
        <w:jc w:val="both"/>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Регулирование распределения скота на пастбищных участках с высокой нагрузкой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9"/>
        <w:gridCol w:w="1170"/>
        <w:gridCol w:w="1170"/>
        <w:gridCol w:w="1788"/>
        <w:gridCol w:w="1561"/>
        <w:gridCol w:w="1374"/>
        <w:gridCol w:w="1374"/>
      </w:tblGrid>
      <w:tr>
        <w:tc>
          <w:tcPr>
            <w:tcW w:type="dxa" w:w="173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 участка</w:t>
            </w:r>
          </w:p>
        </w:tc>
        <w:tc>
          <w:tcPr>
            <w:tcW w:type="dxa" w:w="234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Выпасаемый скот, УГ</w:t>
            </w:r>
          </w:p>
        </w:tc>
        <w:tc>
          <w:tcPr>
            <w:tcW w:type="dxa" w:w="17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Ёмкость</w:t>
            </w:r>
          </w:p>
        </w:tc>
        <w:tc>
          <w:tcPr>
            <w:tcW w:type="dxa" w:w="156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дней выпаса</w:t>
            </w:r>
          </w:p>
        </w:tc>
        <w:tc>
          <w:tcPr>
            <w:tcW w:type="dxa" w:w="274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Нагрузка на пастбища</w:t>
            </w:r>
          </w:p>
        </w:tc>
      </w:tr>
      <w:tr>
        <w:tc>
          <w:tcPr>
            <w:vMerge w:val="continue"/>
            <w:tcBorders>
              <w:top w:val="single" w:color="CBBF9E" w:sz="4"/>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плана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После плана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плана</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После плана</w:t>
            </w:r>
          </w:p>
        </w:tc>
      </w:tr>
      <w:tr>
        <w:tc>
          <w:tcPr>
            <w:vMerge w:val="continue"/>
            <w:tcBorders>
              <w:top w:val="single" w:color="CBBF9E" w:sz="4"/>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Б/С</w:t>
            </w:r>
          </w:p>
        </w:tc>
      </w:tr>
      <w:tr>
        <w:tc>
          <w:tcPr>
            <w:tcW w:type="dxa" w:w="17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437"/>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r>
      <w:tr>
        <w:tc>
          <w:tcPr>
            <w:tcW w:type="dxa" w:w="17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Жапалак</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w:t>
            </w: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17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Озгур</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c>
          <w:tcPr>
            <w:tcW w:type="dxa" w:w="1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условии Жапалакского ТУС на сегодняшний день, несмотря на то, что большинство ското-владельцев выпасают свой скот на территории ЛХ, все же наблюдается высокая перегруженность пресильных пастбищ. 
 Поэтому, чтобы решить эту проблему, необходимо договориться с крупными скотовладельцами, чтобы они использовали отдалённые пастбища. Лишь в таком случае, возможно решить проблемы, связанные с недостатком зимних кормов и высокой на</w:t>
      </w:r>
      <w:r>
        <w:rPr>
          <w:rFonts w:ascii="Arial" w:cs="Arial" w:eastAsia="Arial" w:hAnsi="Arial"/>
          <w:sz w:val="24"/>
          <w:szCs w:val="24"/>
        </w:rPr>
        <w:t xml:space="preserve">грузкой на пресильные пастбища.</w:t>
      </w:r>
    </w:p>
    <w:p>
      <w:pPr>
        <w:spacing w:after="120"/>
        <w:jc w:val="both"/>
      </w:pPr>
      <w:r>
        <w:rPr>
          <w:rFonts w:ascii="Arial" w:cs="Arial" w:eastAsia="Arial" w:hAnsi="Arial"/>
          <w:sz w:val="24"/>
          <w:szCs w:val="24"/>
        </w:rPr>
        <w:t xml:space="preserve">Сотрудничество с Лесными хозяйствами</w:t>
      </w:r>
    </w:p>
    <w:p>
      <w:pPr>
        <w:spacing w:after="240"/>
        <w:jc w:val="both"/>
      </w:pPr>
      <w:r>
        <w:rPr>
          <w:rFonts w:ascii="Arial" w:cs="Arial" w:eastAsia="Arial" w:hAnsi="Arial"/>
          <w:sz w:val="24"/>
          <w:szCs w:val="24"/>
        </w:rPr>
        <w:t xml:space="preserve">Кара-Сууйское Лесное хозяйство (ЛХ) расположено по соседству с Жапалакским ТУС. На территории Жапалакского ТУС имеется земли Кара-Сууйского лесного хозяйства. В данное время со стороны Жапалакского ТУС создана комиссия по определению границ и площадей земель Кара-Сууйского лесного хозяйства. До сегодняшнего дня земельные налоги на все пастбища Жапалакского ТУС уплачиваются Пастбищным комитетом. 
  После определения границ и площадей земель Кара-Сууйского лесного хозяйства будет заключен договор о сотрудничестве.</w:t>
      </w:r>
    </w:p>
    <w:p>
      <w:pPr>
        <w:spacing w:after="120"/>
        <w:jc w:val="both"/>
      </w:pPr>
      <w:r>
        <w:rPr>
          <w:rFonts w:ascii="Arial" w:cs="Arial" w:eastAsia="Arial" w:hAnsi="Arial"/>
          <w:sz w:val="24"/>
          <w:szCs w:val="24"/>
        </w:rPr>
        <w:t xml:space="preserve">Развитие животноводства на уровне ТУС</w:t>
      </w:r>
    </w:p>
    <w:p>
      <w:pPr>
        <w:spacing w:after="240"/>
        <w:jc w:val="both"/>
      </w:pPr>
      <w:r>
        <w:rPr>
          <w:rFonts w:ascii="Arial" w:cs="Arial" w:eastAsia="Arial" w:hAnsi="Arial"/>
          <w:sz w:val="24"/>
          <w:szCs w:val="24"/>
        </w:rPr>
        <w:t xml:space="preserve"> Учитывая перспективы развития животноводства и ёмкость (нагрузка) пастбищ, основными приоритетами являются: </w:t>
      </w:r>
    </w:p>
    <w:p>
      <w:pPr>
        <w:spacing w:after="120"/>
        <w:jc w:val="both"/>
      </w:pPr>
      <w:r>
        <w:rPr>
          <w:rFonts w:ascii="Arial" w:cs="Arial" w:eastAsia="Arial" w:hAnsi="Arial"/>
          <w:sz w:val="24"/>
          <w:szCs w:val="24"/>
        </w:rPr>
        <w:t xml:space="preserve">улучшение генетического потенциала (породность) разводимых животных;</w:t>
      </w:r>
    </w:p>
    <w:p>
      <w:pPr>
        <w:spacing w:after="120"/>
        <w:jc w:val="both"/>
      </w:pPr>
      <w:r>
        <w:rPr>
          <w:rFonts w:ascii="Arial" w:cs="Arial" w:eastAsia="Arial" w:hAnsi="Arial"/>
          <w:sz w:val="24"/>
          <w:szCs w:val="24"/>
        </w:rPr>
        <w:t xml:space="preserve">создание прочной кормовой базы (зимних запасов);</w:t>
      </w:r>
    </w:p>
    <w:p>
      <w:pPr>
        <w:spacing w:after="120"/>
        <w:jc w:val="both"/>
      </w:pPr>
      <w:r>
        <w:rPr>
          <w:rFonts w:ascii="Arial" w:cs="Arial" w:eastAsia="Arial" w:hAnsi="Arial"/>
          <w:sz w:val="24"/>
          <w:szCs w:val="24"/>
        </w:rPr>
        <w:t xml:space="preserve">переработка продукций животноводства;</w:t>
      </w:r>
    </w:p>
    <w:p>
      <w:pPr>
        <w:spacing w:after="120"/>
        <w:jc w:val="both"/>
      </w:pPr>
      <w:r>
        <w:rPr>
          <w:rFonts w:ascii="Arial" w:cs="Arial" w:eastAsia="Arial" w:hAnsi="Arial"/>
          <w:sz w:val="24"/>
          <w:szCs w:val="24"/>
        </w:rPr>
        <w:t xml:space="preserve">сбыт произведённой продукции.</w:t>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Жапалакского Пастбищного комитета по развитию животноводства на 2016-2019 гг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3079"/>
        <w:gridCol w:w="2744"/>
        <w:gridCol w:w="1786"/>
        <w:gridCol w:w="2026"/>
      </w:tblGrid>
      <w:tr>
        <w:tc>
          <w:tcPr>
            <w:tcW w:type="dxa" w:w="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w:t>
            </w:r>
          </w:p>
        </w:tc>
        <w:tc>
          <w:tcPr>
            <w:tcW w:type="dxa" w:w="27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породы скота</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ПИО (Пункт искусственного осеменения)</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2019г.</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ЧВС, ПК</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кормления скота в зимний период</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площади культур многолетних трав – эспарцет – 
 Люцерна- </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2019 г.</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Возрождение переработки животноводческой продукции</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перерабатывающего цеха (молоко) </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2019 г.</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охраны здоровья животных на 2019 год</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противоэпизоотических, профилактических мероприятий и ветеринарно-диагностических исследований животных и птиц на 2019 г. по Жапалакскому ТУС города Ош приведен в приложении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и потребности в рациональном использовании и управлении пастбищами</w:t>
      </w:r>
    </w:p>
    <w:p>
      <w:pPr>
        <w:spacing w:after="120"/>
        <w:jc w:val="both"/>
      </w:pPr>
      <w:r>
        <w:rPr>
          <w:rFonts w:ascii="Arial" w:cs="Arial" w:eastAsia="Arial" w:hAnsi="Arial"/>
          <w:sz w:val="24"/>
          <w:szCs w:val="24"/>
        </w:rPr>
        <w:t xml:space="preserve"> Определены инфраструктурные и прочие вопросы Жапалакского ПК, также поставлены сроки реализации и приблизительная себестоимость каждого мерпориятия на 2019-г. 
  Из ниже расписанных мероприятий при поддержке Проекта Развития Животноводства и Рынка для реализации будут отобраны несколько пунктов на общем собрании населения. Точная стоимость осуществления каждого отобранного мероприятия будет расчитываться при проведении отдельного мониторинга сотрудниками АРИС. 
 Ответственность за осуществление плана ПК возлагает на себя. Реализация намеченных мероприятий предупредит деградацию пастбищных угодий, приведет к рациональному использованию пастбищных участков. 
 Планы по улучшению пастбищных инфраструктур определяется на общем собрании местных пастбищепользователей и утверждается на сессии депутатов местного кенеша. 
 Утвержденные мероприятия для реализации в 2019 г. будут включены в бюджет Пастбищного комитета.
 </w:t>
      </w:r>
      <w:r>
        <w:rPr>
          <w:rFonts w:ascii="Arial" w:cs="Arial" w:eastAsia="Arial" w:hAnsi="Arial"/>
          <w:sz w:val="24"/>
          <w:szCs w:val="24"/>
        </w:rPr>
        <w:t xml:space="preserve">Мониторинг исполнения Плана управления пастбищами</w:t>
      </w:r>
    </w:p>
    <w:p>
      <w:pPr>
        <w:spacing w:after="240"/>
        <w:jc w:val="both"/>
      </w:pPr>
      <w:r>
        <w:rPr>
          <w:rFonts w:ascii="Arial" w:cs="Arial" w:eastAsia="Arial" w:hAnsi="Arial"/>
          <w:sz w:val="24"/>
          <w:szCs w:val="24"/>
        </w:rPr>
        <w:t xml:space="preserve">Мониторинг исполнения Плана управления пастбищами проводится на ежегодной основе Группой мониторинга на уровне Жапалакского ТУС, которая создается приказом главы Жапалакского ТУС. В состав данной группы входят члены ЖК, сотрудники ТУС, депутаты Ошского городского Кенеша, члены сообщества из числа женщин, молодежи, уязвимого слоя населения. На годовых ежегодных собраниях членов Жапалакского ОПП предоставляется информация о ходе реализации данного Плана управления пастбищами и носит рекомендательный характер, а также на сессии Ошского городского Кенеша для принятия решения. Соответственно, ЖК в План управления пастбищами могут вносить изменения согласно рекомендациям со стороны Группы мониторинга, а также сессии Ошского городского Кенеша. Изменения могут касаться содержания, методологии, инструментов и т.д. 
  При проведении мониторинга исполнения Плана управления пастбищами используется метод «Радар» с участием таких групп как: крупные чабаны, мелкие чабаны, молодежь, женщины, бедные домохозяйства. Метод «Радар» предполагает опрос у выше названных групп по отдельности по следующим блокам вопросов по 5 бальной шкале оценки:
 ·Улучшение инфраструктуры пастбищ;
 ·Улучшение кормовой базы: естественная, искусственная;
 ·Улучшение мероприятий по охране здоровья животных;
 ·Улучшение состояния пастбищ: управление (менеджмент), агротехнические мероприятия (подсев, удобрение, и т.д.);
 ·Степень участия уязвимого слоя населения при управлении пастбищными ресурсами;
 ·Повышения благосостояния – доходность населения (упитанность скота, цепочка добавленной стоимости, социально-экономические показатели –данные статистического комитета района.
  Полученные результаты отслеживаются на ежегодной основе в течение срока исполнения Плана управления пастбищами. Полученные промежуточные (годовые) результаты представляются всем жителям Жапалакского ТУС в целях обеспечения прозрачности и осведомленности о деятельности ОПП Жапалакского ТУС.
  При проведении мониторинга исполнения Плана управления пастбищами Жапалакского ТУС могут использоваться другие методы и инструменты по мере необходимости. Мониторинг исполнения Плана управления могут проводить все заинтересованные стороны в лице членов данного сообщества, действующих и потенциальных доноров, партнеров, соответствующих государственных органов всех уровней, АРИС и т.д.</w:t>
      </w:r>
    </w:p>
    <w:p>
      <w:pPr>
        <w:spacing w:after="120"/>
        <w:jc w:val="both"/>
      </w:pPr>
      <w:r>
        <w:rPr>
          <w:rFonts w:ascii="Arial" w:cs="Arial" w:eastAsia="Arial" w:hAnsi="Arial"/>
          <w:sz w:val="24"/>
          <w:szCs w:val="24"/>
        </w:rPr>
        <w:t xml:space="preserve">Выгода пастбищепользователей (результаты) от реализации Плана управления пастбищами Жапалакского ТУС.</w:t>
      </w:r>
    </w:p>
    <w:p>
      <w:pPr>
        <w:spacing w:after="120"/>
        <w:jc w:val="both"/>
      </w:pPr>
      <w:r>
        <w:rPr>
          <w:rFonts w:ascii="Arial" w:cs="Arial" w:eastAsia="Arial" w:hAnsi="Arial"/>
          <w:sz w:val="24"/>
          <w:szCs w:val="24"/>
        </w:rPr>
        <w:t xml:space="preserve">В соответствии цели </w:t>
      </w:r>
      <w:r>
        <w:rPr>
          <w:rFonts w:ascii="Arial" w:cs="Arial" w:eastAsia="Arial" w:hAnsi="Arial"/>
          <w:sz w:val="24"/>
          <w:szCs w:val="24"/>
        </w:rPr>
        <w:t xml:space="preserve">разработки Плана управления пастбищами, члены сообщества – пастищепользователи Жапалакского ТУС, получат выгоду 75% из предполагаемых участвующих 5285 домохозяйств. Результаты исполнения Плана управления пастбищами отображены в таблице ниже.</w:t>
      </w:r>
    </w:p>
    <w:p>
      <w:pPr>
        <w:spacing w:after="120"/>
        <w:jc w:val="both"/>
      </w:pPr>
      <w:r>
        <w:rPr>
          <w:rFonts w:ascii="Arial" w:cs="Arial" w:eastAsia="Arial" w:hAnsi="Arial"/>
          <w:sz w:val="24"/>
          <w:szCs w:val="24"/>
        </w:rPr>
        <w:t xml:space="preserve"> Таблица 16.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3016"/>
        <w:gridCol w:w="3146"/>
        <w:gridCol w:w="3234"/>
      </w:tblGrid>
      <w:tr>
        <w:tc>
          <w:tcPr>
            <w:tcW w:type="dxa" w:w="7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0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(выгода)</w:t>
            </w:r>
          </w:p>
        </w:tc>
        <w:tc>
          <w:tcPr>
            <w:tcW w:type="dxa" w:w="31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32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Источники информации</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пастбища</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Пастбищная инфраструктура улучшилась на 20%</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Профайл ОПП
 · Результаты мониторинга (метод Радар)</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кормовой базы</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скота и животноводческой продукции выросли на 15%</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мониторинга (метод Радар)
 · Аналитические данные рыночных цен</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мероприятий по охране здоровья животных</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80% домохозяйствах снизился падеж среди домашних животных,
 Снижение уровня заболеваемости скота на 5%</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мониторинга (метод Радар)
 · Данные ЧВ, ПОЗЖ, районной ветеринарной станции</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участия уязвимого слоя населения при управлении пастбищными ресурсами</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молодежи, женщин, бедных семей участвуют в управлении пастбищными ресурсами</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Профайл ОПП
 · Результаты мониторинга (метод Радар)
 · Протоколы мероприятий ОПП</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благосостояния – доходность населения</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домохозяйств улучшили свое питание и продовольственную безопасность</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мониторинга (метод Радар)
 · Социально-экономические показатели АО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Финансовый план</w:t>
      </w:r>
    </w:p>
    <w:p>
      <w:pPr>
        <w:spacing w:after="240" w:before="200"/>
        <w:jc w:val="center"/>
      </w:pPr>
      <w:r>
        <w:rPr>
          <w:rFonts w:ascii="Arial" w:cs="Arial" w:eastAsia="Arial" w:hAnsi="Arial"/>
          <w:b/>
          <w:bCs/>
          <w:sz w:val="32"/>
          <w:szCs w:val="32"/>
        </w:rPr>
        <w:t xml:space="preserve">Финансовый план Жапалакского ТУС реализуемый через ЖК направлен на определение финансовых источников для улучшения инфраструктуры пастбищ и повышения продуктивности животноводства. </w:t>
      </w:r>
    </w:p>
    <w:p>
      <w:pPr>
        <w:spacing w:after="120"/>
        <w:jc w:val="both"/>
      </w:pPr>
      <w:r>
        <w:rPr>
          <w:rFonts w:ascii="Arial" w:cs="Arial" w:eastAsia="Arial" w:hAnsi="Arial"/>
          <w:sz w:val="24"/>
          <w:szCs w:val="24"/>
        </w:rPr>
        <w:t xml:space="preserve">Таблица 17.</w:t>
      </w:r>
    </w:p>
    <w:p>
      <w:pPr>
        <w:spacing w:after="120"/>
        <w:jc w:val="center"/>
      </w:pPr>
      <w:r>
        <w:rPr>
          <w:rFonts w:ascii="Arial" w:cs="Arial" w:eastAsia="Arial" w:hAnsi="Arial"/>
          <w:b/>
          <w:bCs/>
          <w:sz w:val="24"/>
          <w:szCs w:val="24"/>
        </w:rPr>
        <w:t xml:space="preserve">Финансовый перспективный план Жапалакского ОПП на 2019 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3166"/>
        <w:gridCol w:w="2039"/>
        <w:gridCol w:w="1746"/>
        <w:gridCol w:w="2780"/>
      </w:tblGrid>
      <w:tr>
        <w:tc>
          <w:tcPr>
            <w:tcW w:type="dxa" w:w="4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микропроектов</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расположение</w:t>
            </w:r>
          </w:p>
        </w:tc>
        <w:tc>
          <w:tcPr>
            <w:tcW w:type="dxa" w:w="17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(начало и конец) </w:t>
            </w:r>
          </w:p>
        </w:tc>
        <w:tc>
          <w:tcPr>
            <w:tcW w:type="dxa" w:w="27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Ветсервис</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с.Жапалак</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Берки-Суу.Тогуз-б.</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водолотков </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 с.Берки Суу</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(июнь-август)</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r>
    </w:tbl>
    <w:p>
      <w:pPr>
        <w:spacing w:after="120"/>
        <w:jc w:val="both"/>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Финансовый инвестиционный план ЖК Жапалакского ОПП на 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1586"/>
        <w:gridCol w:w="1205"/>
        <w:gridCol w:w="1347"/>
        <w:gridCol w:w="1347"/>
        <w:gridCol w:w="1205"/>
        <w:gridCol w:w="1205"/>
        <w:gridCol w:w="745"/>
        <w:gridCol w:w="1046"/>
      </w:tblGrid>
      <w:tr>
        <w:tc>
          <w:tcPr>
            <w:tcW w:type="dxa" w:w="4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микропроектов</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располо-жение</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(начало и конец) </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спон-соры </w:t>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Ветсервис</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С.Жапалак</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 Тогуз Булак</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в реке Лаглан</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водопоев</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 Паст.Берки -Суу</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Таблица 19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мероприятия ЖапалакскогоПК на 2016-2019-гг. по улучшению инфраструктур на пастбищах</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4512"/>
        <w:gridCol w:w="1469"/>
        <w:gridCol w:w="2518"/>
        <w:gridCol w:w="682"/>
        <w:gridCol w:w="682"/>
      </w:tblGrid>
      <w:tr>
        <w:tc>
          <w:tcPr>
            <w:tcW w:type="dxa" w:w="3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w:t>
            </w:r>
          </w:p>
        </w:tc>
        <w:tc>
          <w:tcPr>
            <w:tcW w:type="dxa" w:w="14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w:t>
            </w:r>
          </w:p>
        </w:tc>
        <w:tc>
          <w:tcPr>
            <w:tcW w:type="dxa" w:w="2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13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w:t>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 Ветсерис</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в реке Лаглан</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Лаглан</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г.</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водопоя</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г.(июнь-август)</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правила</w:t>
      </w:r>
    </w:p>
    <w:p>
      <w:pPr>
        <w:spacing w:after="120"/>
        <w:jc w:val="both"/>
      </w:pPr>
      <w:r>
        <w:rPr>
          <w:rFonts w:ascii="Arial" w:cs="Arial" w:eastAsia="Arial" w:hAnsi="Arial"/>
          <w:sz w:val="24"/>
          <w:szCs w:val="24"/>
        </w:rPr>
        <w:t xml:space="preserve">в соответствии утвержденного плана по управлению пастбищами на 2019 год.</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-Пастбищный сезон начинается с 1 апреля.
 -Окончание пастбищного сезона 30 октября.
 -Перемещения фермеров на весенние (средние) пастбища с 1 до 10 мая.
 -Перемещения фермеров на летние пастбища с 25 до 30 мая.
 -Возвращение на осенние пастбища к 1 октябрю.
 -Те, кто вернулся раньше времени с отгонных пастбищ на осенние выплачивают штраф на 1 голову КРС-250 сом, МРС-50 сом и дается письменное уведомление о возврате на покинутые пастбища в течение 1 сутки.
 -С 20 апреля все, кто находится вблизи с посевными площадями должны уйти на весенние пастбища.
 -С 20 апреля для выпаса дойного стада организуется пастьба.
 -Внутри аила могут оставаться 1 рабочая лощадь, 2 дойных коровы, 3-5 овец, остальные животные отправлются на пастбища.
 -Если внутри аила остаются более 2 голов МРС будут приниматься следующие меры:
 ·Постановлением общего собрания и решением суда аксакалов будет налагаться штраф в размере 500 сом за голову;
 Владельцам животных, чьи животные заходят на посевные площади, будут применяться следующие штрафные санкции:
 ·Если до 10 апреля животные заходят на посевные площади-предупреждение;
 ·Если животные заходят на посевы после 10 апреля: Для КРС 1-раз штраф 200 сом, второй раз-500 сом, для МРС 1-й раз 20 сом, второй-100 сом, а если животные все равно зоходят, тогда подсчитывается ущерб и дело передается в суд аксакалов и через суд налагается штраф;
 ·Если без пастбищного билета и заходят на посевные площади: для КРС штраф 500 сом, для МРС штраф 200 сом но одну голову скота, в случае отказа оплаты штрафа дело передается в суд;
 ·Если по пастбищным билетам своевременно не оплачивается налог в назначенный срок, предусмотрена административная ответственность в соответствии с Налоговым Кодексом о налогового кодекса Кыргызской Республики, и дело передается в суд;
 ·Если животные, кроме животных членов Жапалакского ОПП, заходят на посевные площади-налог будет оплачиваться в двойном размере, утвержденного Ошским городским Кенешом.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1. Примерный список пастбищепользователей</w:t>
      </w:r>
    </w:p>
    <w:p>
      <w:pPr>
        <w:spacing w:after="240" w:before="200"/>
        <w:jc w:val="center"/>
      </w:pPr>
      <w:r>
        <w:rPr>
          <w:rFonts w:ascii="Arial" w:cs="Arial" w:eastAsia="Arial" w:hAnsi="Arial"/>
          <w:b/>
          <w:bCs/>
          <w:sz w:val="32"/>
          <w:szCs w:val="32"/>
        </w:rPr>
        <w:t xml:space="preserve">Жапалакского ТУС на 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2617"/>
        <w:gridCol w:w="1658"/>
        <w:gridCol w:w="1497"/>
        <w:gridCol w:w="1454"/>
        <w:gridCol w:w="1018"/>
        <w:gridCol w:w="1323"/>
      </w:tblGrid>
      <w:tr>
        <w:tc>
          <w:tcPr>
            <w:tcW w:type="dxa" w:w="6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w:t>
            </w:r>
          </w:p>
        </w:tc>
        <w:tc>
          <w:tcPr>
            <w:tcW w:type="dxa" w:w="16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КРС</w:t>
            </w:r>
          </w:p>
        </w:tc>
        <w:tc>
          <w:tcPr>
            <w:tcW w:type="dxa" w:w="14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Овцы-козы</w:t>
            </w:r>
          </w:p>
        </w:tc>
        <w:tc>
          <w:tcPr>
            <w:tcW w:type="dxa" w:w="14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Лошади</w:t>
            </w:r>
          </w:p>
        </w:tc>
        <w:tc>
          <w:tcPr>
            <w:tcW w:type="dxa" w:w="10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Яки</w:t>
            </w:r>
          </w:p>
        </w:tc>
        <w:tc>
          <w:tcPr>
            <w:tcW w:type="dxa" w:w="13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УГ</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Досуев Алым </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Карабаев Мурат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Манасов Хамид.</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Касымов Калбай</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Жолонов Маматжума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Абдрасулов Абибилла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Орунбаев Хамид</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Мадасманов Нурбек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Калмуратов Арстан</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Максытов Калдар</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Кочкоров С.</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Абсаматов Долонбек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Апсаматов Бакытбек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Адылов Рахманали</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Калыкулов Муратбек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Осоев Расул</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Эргешов Таалайбек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Боронов Темирлан</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Жоомарт уулу Адилет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Эргешов Эшбай</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Аданбаев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Мамытов Нурбек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r>
      <w:tr>
        <w:tc>
          <w:tcPr>
            <w:tcW w:type="dxa" w:w="32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2.План улучшения здоровья животных Жапалакского ТУС города Ош на 2019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0"/>
        <w:gridCol w:w="2398"/>
        <w:gridCol w:w="1491"/>
        <w:gridCol w:w="1461"/>
        <w:gridCol w:w="1169"/>
        <w:gridCol w:w="2030"/>
      </w:tblGrid>
      <w:tr>
        <w:tc>
          <w:tcPr>
            <w:tcW w:type="dxa" w:w="16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w:t>
            </w:r>
          </w:p>
          <w:p>
            <w:pPr>
              <w:jc w:val="left"/>
            </w:pPr>
            <w:r>
              <w:rPr>
                <w:rFonts w:ascii="Arial" w:cs="Arial" w:eastAsia="Arial" w:hAnsi="Arial"/>
                <w:sz w:val="24"/>
                <w:szCs w:val="24"/>
              </w:rPr>
              <w:t xml:space="preserve">проведения</w:t>
            </w:r>
          </w:p>
        </w:tc>
        <w:tc>
          <w:tcPr>
            <w:tcW w:type="dxa" w:w="2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обработки</w:t>
            </w:r>
          </w:p>
        </w:tc>
        <w:tc>
          <w:tcPr>
            <w:tcW w:type="dxa" w:w="1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w:t>
            </w:r>
          </w:p>
          <w:p>
            <w:pPr>
              <w:jc w:val="left"/>
            </w:pPr>
            <w:r>
              <w:rPr>
                <w:rFonts w:ascii="Arial" w:cs="Arial" w:eastAsia="Arial" w:hAnsi="Arial"/>
                <w:sz w:val="24"/>
                <w:szCs w:val="24"/>
              </w:rPr>
              <w:t xml:space="preserve">выполнения</w:t>
            </w:r>
          </w:p>
        </w:tc>
        <w:tc>
          <w:tcPr>
            <w:tcW w:type="dxa" w:w="14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препарата</w:t>
            </w:r>
          </w:p>
        </w:tc>
        <w:tc>
          <w:tcPr>
            <w:tcW w:type="dxa" w:w="11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Разовая доза</w:t>
            </w:r>
          </w:p>
        </w:tc>
        <w:tc>
          <w:tcPr>
            <w:tcW w:type="dxa" w:w="2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Собаки </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Дегельминтизация против эхинококкоза</w:t>
            </w:r>
          </w:p>
          <w:p>
            <w:pPr>
              <w:jc w:val="left"/>
            </w:pPr>
            <w:r>
              <w:rPr>
                <w:rFonts w:ascii="Arial" w:cs="Arial" w:eastAsia="Arial" w:hAnsi="Arial"/>
                <w:sz w:val="24"/>
                <w:szCs w:val="24"/>
              </w:rPr>
              <w:t xml:space="preserve">(1080 собак )</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скармливание</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Авинокс</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таб на 10 кг ж/в</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бешенства</w:t>
            </w:r>
          </w:p>
          <w:p>
            <w:pPr>
              <w:jc w:val="left"/>
            </w:pPr>
            <w:r>
              <w:rPr>
                <w:rFonts w:ascii="Arial" w:cs="Arial" w:eastAsia="Arial" w:hAnsi="Arial"/>
                <w:sz w:val="24"/>
                <w:szCs w:val="24"/>
              </w:rPr>
              <w:t xml:space="preserve">(1080собак )</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Поливлентаная вкцина</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 </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декабрь 20148 г. </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болезни Ньюкасла</w:t>
            </w:r>
          </w:p>
          <w:p>
            <w:pPr>
              <w:jc w:val="left"/>
            </w:pPr>
            <w:r>
              <w:rPr>
                <w:rFonts w:ascii="Arial" w:cs="Arial" w:eastAsia="Arial" w:hAnsi="Arial"/>
                <w:sz w:val="24"/>
                <w:szCs w:val="24"/>
              </w:rPr>
              <w:t xml:space="preserve">(4500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Чума «Н»,</w:t>
            </w:r>
          </w:p>
          <w:p>
            <w:pPr>
              <w:jc w:val="left"/>
            </w:pPr>
            <w:r>
              <w:rPr>
                <w:rFonts w:ascii="Arial" w:cs="Arial" w:eastAsia="Arial" w:hAnsi="Arial"/>
                <w:sz w:val="24"/>
                <w:szCs w:val="24"/>
              </w:rPr>
              <w:t xml:space="preserve">«Ла-Сота»</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Крупнорогатый скот </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Сибирской язвы (9222 голов)</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Вакцина СТИ (г. Владимир Россия)</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Эмфизематозного карбункула</w:t>
            </w:r>
          </w:p>
          <w:p>
            <w:pPr>
              <w:jc w:val="left"/>
            </w:pPr>
            <w:r>
              <w:rPr>
                <w:rFonts w:ascii="Arial" w:cs="Arial" w:eastAsia="Arial" w:hAnsi="Arial"/>
                <w:sz w:val="24"/>
                <w:szCs w:val="24"/>
              </w:rPr>
              <w:t xml:space="preserve">(3185 голов)</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«Алтын тамыр»</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(2770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Ящур </w:t>
            </w:r>
          </w:p>
          <w:p>
            <w:pPr>
              <w:jc w:val="left"/>
            </w:pPr>
            <w:r>
              <w:rPr>
                <w:rFonts w:ascii="Arial" w:cs="Arial" w:eastAsia="Arial" w:hAnsi="Arial"/>
                <w:sz w:val="24"/>
                <w:szCs w:val="24"/>
              </w:rPr>
              <w:t xml:space="preserve">(11120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 валент</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Мелкий рогатый скот</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Пастереллез</w:t>
            </w:r>
          </w:p>
          <w:p>
            <w:pPr>
              <w:jc w:val="left"/>
            </w:pPr>
            <w:r>
              <w:rPr>
                <w:rFonts w:ascii="Arial" w:cs="Arial" w:eastAsia="Arial" w:hAnsi="Arial"/>
                <w:sz w:val="24"/>
                <w:szCs w:val="24"/>
              </w:rPr>
              <w:t xml:space="preserve">(300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(222 гол. баранов-производителей)</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Май-сентбрь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Купка против экзопаразитов</w:t>
            </w:r>
          </w:p>
          <w:p>
            <w:pPr>
              <w:jc w:val="left"/>
            </w:pPr>
            <w:r>
              <w:rPr>
                <w:rFonts w:ascii="Arial" w:cs="Arial" w:eastAsia="Arial" w:hAnsi="Arial"/>
                <w:sz w:val="24"/>
                <w:szCs w:val="24"/>
              </w:rPr>
              <w:t xml:space="preserve">(7000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неоцедол</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литр на 1000 литр воды</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бруцеллеза</w:t>
            </w:r>
          </w:p>
          <w:p>
            <w:pPr>
              <w:jc w:val="left"/>
            </w:pPr>
            <w:r>
              <w:rPr>
                <w:rFonts w:ascii="Arial" w:cs="Arial" w:eastAsia="Arial" w:hAnsi="Arial"/>
                <w:sz w:val="24"/>
                <w:szCs w:val="24"/>
              </w:rPr>
              <w:t xml:space="preserve">(3500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конъюнктивальное</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Rev-1</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С. Маматалиева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к постановлению №178</w:t>
      </w:r>
    </w:p>
    <w:p>
      <w:pPr>
        <w:spacing w:after="120"/>
        <w:jc w:val="right"/>
      </w:pPr>
      <w:r>
        <w:rPr>
          <w:rFonts w:ascii="Arial" w:cs="Arial" w:eastAsia="Arial" w:hAnsi="Arial"/>
          <w:sz w:val="24"/>
          <w:szCs w:val="24"/>
        </w:rPr>
        <w:t xml:space="preserve"> очередной XX сессии (IV созыв) Ошского городского</w:t>
      </w:r>
    </w:p>
    <w:p>
      <w:pPr>
        <w:spacing w:after="240"/>
        <w:jc w:val="right"/>
      </w:pPr>
      <w:r>
        <w:rPr>
          <w:rFonts w:ascii="Arial" w:cs="Arial" w:eastAsia="Arial" w:hAnsi="Arial"/>
          <w:sz w:val="24"/>
          <w:szCs w:val="24"/>
        </w:rPr>
        <w:t xml:space="preserve"> Кенеша от 14 мая 2019 года</w:t>
      </w:r>
    </w:p>
    <w:p>
      <w:pPr>
        <w:spacing w:after="240" w:before="200"/>
        <w:jc w:val="center"/>
      </w:pPr>
      <w:r>
        <w:rPr>
          <w:rFonts w:ascii="Arial" w:cs="Arial" w:eastAsia="Arial" w:hAnsi="Arial"/>
          <w:b/>
          <w:bCs/>
          <w:sz w:val="32"/>
          <w:szCs w:val="32"/>
        </w:rPr>
        <w:t xml:space="preserve">Бюджет Пастбищного комитета Жапалакского УАА на 2019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4"/>
        <w:gridCol w:w="1930"/>
        <w:gridCol w:w="1727"/>
        <w:gridCol w:w="2677"/>
      </w:tblGrid>
      <w:tr>
        <w:tc>
          <w:tcPr>
            <w:tcW w:type="dxa" w:w="38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Доходная часть</w:t>
            </w:r>
          </w:p>
        </w:tc>
        <w:tc>
          <w:tcPr>
            <w:tcW w:type="dxa" w:w="193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Сумма ставки, сом на 1 гол. Скота за сезон</w:t>
            </w:r>
          </w:p>
        </w:tc>
        <w:tc>
          <w:tcPr>
            <w:tcW w:type="dxa" w:w="1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26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КРС </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1349</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168625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МРС</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 </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Сенокос (га) </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500 </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Пашня (га)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319625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Расходная часть</w:t>
            </w:r>
          </w:p>
        </w:tc>
        <w:tc>
          <w:tcPr>
            <w:tcW w:type="dxa" w:w="19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Налог2281га х 1,04</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бухгалтера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ПК</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налоговика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охранника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 фонд (17,25%)</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31568</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Конц,тов,</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 Расход.</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Разн.расход,</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развитие пастбища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319568</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Примечание: Пастбищный сезон считать от 90 до 150 дней. Бюджет Жапалакского ПК состоит из сборов платы за использование пастбищ. Сбор за пользование пастбищами осуществляется исходя из определения поголовья скота, выпасаемого на пастбищах.</w:t>
      </w:r>
    </w:p>
    <w:p>
      <w:pPr>
        <w:spacing w:after="120"/>
        <w:jc w:val="both"/>
      </w:pPr>
      <w:r>
        <w:rPr>
          <w:rFonts w:ascii="Arial" w:cs="Arial" w:eastAsia="Arial" w:hAnsi="Arial"/>
          <w:b/>
          <w:bCs/>
          <w:sz w:val="24"/>
          <w:szCs w:val="24"/>
        </w:rPr>
        <w:t xml:space="preserve">Руководитель аппарата Ошского городского Кенеша                                                                                                                                                  С.Маматалиева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io3t5adwsn8rtggzakr">
      <w:r>
        <w:rPr>
          <w:rFonts w:ascii="Arial" w:cs="Arial" w:eastAsia="Arial" w:hAnsi="Arial"/>
          <w:color w:val="132D3F"/>
          <w:sz w:val="16"/>
          <w:szCs w:val="16"/>
          <w:u w:val="single"/>
        </w:rPr>
        <w:t xml:space="preserve">dalil.kg/document/42420</w:t>
      </w:r>
    </w:hyperlink>
  </w:p>
  <w:p>
    <w:pPr>
      <w:spacing w:after="0" w:before="40"/>
      <w:jc w:val="center"/>
    </w:pPr>
    <w:hyperlink w:history="1" r:id="rIdkpdu8rwacmsskm5zrvb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6g1hlwndcie730fdzqi" Type="http://schemas.openxmlformats.org/officeDocument/2006/relationships/hyperlink" Target="https://dalil.kg/document/202594" TargetMode="External"/><Relationship Id="rIdsj94scd1huuddniwzc8hd" Type="http://schemas.openxmlformats.org/officeDocument/2006/relationships/hyperlink" Target="https://dalil.kg/document/42420#p1" TargetMode="External"/><Relationship Id="rIdhjnoxg8zep-8xnynivp8e" Type="http://schemas.openxmlformats.org/officeDocument/2006/relationships/hyperlink" Target="https://dalil.kg/document/42420#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io3t5adwsn8rtggzakr" Type="http://schemas.openxmlformats.org/officeDocument/2006/relationships/hyperlink" Target="https://dalil.kg/document/42420" TargetMode="External"/><Relationship Id="rIdkpdu8rwacmsskm5zrvb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2026-10-01T19:57:00.457Z</dcterms:created>
  <dcterms:modified xsi:type="dcterms:W3CDTF">2026-10-01T19:57:00.457Z</dcterms:modified>
</cp:coreProperties>
</file>

<file path=docProps/custom.xml><?xml version="1.0" encoding="utf-8"?>
<Properties xmlns="http://schemas.openxmlformats.org/officeDocument/2006/custom-properties" xmlns:vt="http://schemas.openxmlformats.org/officeDocument/2006/docPropsVTypes"/>
</file>