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ХVIII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декабря 2018 года № 146</w:t>
      </w:r>
    </w:p>
    <w:p>
      <w:pPr>
        <w:spacing w:after="120"/>
        <w:jc w:val="both"/>
      </w:pPr>
      <w:r>
        <w:rPr>
          <w:rFonts w:ascii="Arial" w:cs="Arial" w:eastAsia="Arial" w:hAnsi="Arial"/>
          <w:sz w:val="28"/>
          <w:szCs w:val="28"/>
        </w:rPr>
        <w:t xml:space="preserve">Об утверждении Программы развития города Ош на 2019-2020 годы, «Курс на устойчивое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пункта 7, статьи 44 </w:t>
      </w:r>
      <w:hyperlink w:history="1" r:id="rIdrbbazgzu_kekhk-zmdrq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рассмотрев и обсудив письмо мэрии города Ош №892/08-13 от 20 декабря 2018 года об утверждении Программы развития города Ош на 2019-2020 годы, «Курс на устойчивое развитие», принимая во внимание постановления постоянных депутатских комиссий Ошского городского Кенеша по рассмотрению данного вопроса, а также мнения выступивших на сессии депутатов,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nmd497dazdkpshvatwdqz">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города Ош на 2019-2020 годы «Курс на устойчивое развитие» (прилагается).</w:t>
      </w:r>
    </w:p>
    <w:p>
      <w:pPr>
        <w:spacing w:after="120"/>
        <w:jc w:val="both"/>
      </w:pPr>
      <w:r>
        <w:rPr>
          <w:rFonts w:ascii="Arial" w:cs="Arial" w:eastAsia="Arial" w:hAnsi="Arial"/>
          <w:sz w:val="24"/>
          <w:szCs w:val="24"/>
        </w:rPr>
        <w:t xml:space="preserve">2. Считать утратившим силу постановление Ошского городского Кенеша </w:t>
      </w:r>
      <w:hyperlink w:history="1" r:id="rIdpfazfryouorw_zpz87fuu">
        <w:r>
          <w:rPr>
            <w:rFonts w:ascii="Arial" w:cs="Arial" w:eastAsia="Arial" w:hAnsi="Arial"/>
            <w:color w:val="1D4ED8"/>
            <w:sz w:val="24"/>
            <w:szCs w:val="24"/>
            <w:u w:val="single"/>
          </w:rPr>
          <w:t xml:space="preserve">№ 10 от 24 августа 2016 года</w:t>
        </w:r>
      </w:hyperlink>
      <w:r>
        <w:rPr>
          <w:rFonts w:ascii="Arial" w:cs="Arial" w:eastAsia="Arial" w:hAnsi="Arial"/>
          <w:sz w:val="24"/>
          <w:szCs w:val="24"/>
        </w:rPr>
        <w:t xml:space="preserve"> Об утверждении Программы развития города Ош на 2016-2020 годы «Город Ош-развитая столица».</w:t>
      </w:r>
    </w:p>
    <w:p>
      <w:pPr>
        <w:spacing w:after="120"/>
        <w:jc w:val="both"/>
      </w:pPr>
      <w:r>
        <w:rPr>
          <w:rFonts w:ascii="Arial" w:cs="Arial" w:eastAsia="Arial" w:hAnsi="Arial"/>
          <w:sz w:val="24"/>
          <w:szCs w:val="24"/>
        </w:rPr>
        <w:t xml:space="preserve">3. Данное постановление зарегистрировать в установленном законом порядке (Б.Астанакулов) и опубликовать в средствах массовой информации (А. Эргашева).</w:t>
      </w:r>
    </w:p>
    <w:p>
      <w:pPr>
        <w:spacing w:after="120"/>
        <w:jc w:val="both"/>
      </w:pPr>
      <w:r>
        <w:rPr>
          <w:rFonts w:ascii="Arial" w:cs="Arial" w:eastAsia="Arial" w:hAnsi="Arial"/>
          <w:sz w:val="24"/>
          <w:szCs w:val="24"/>
        </w:rPr>
        <w:t xml:space="preserve">4.Контроль исполнения настоящего постановления возложить на постоянные депутатские комиссии Ошского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p>
    <w:p>
      <w:pPr>
        <w:spacing w:after="120"/>
        <w:jc w:val="right"/>
      </w:pPr>
      <w:r>
        <w:rPr>
          <w:rFonts w:ascii="Arial" w:cs="Arial" w:eastAsia="Arial" w:hAnsi="Arial"/>
          <w:sz w:val="24"/>
          <w:szCs w:val="24"/>
        </w:rPr>
        <w:t xml:space="preserve">к постановлению очередной</w:t>
      </w:r>
    </w:p>
    <w:p>
      <w:pPr>
        <w:spacing w:after="120"/>
        <w:jc w:val="right"/>
      </w:pPr>
      <w:r>
        <w:rPr>
          <w:rFonts w:ascii="Arial" w:cs="Arial" w:eastAsia="Arial" w:hAnsi="Arial"/>
          <w:sz w:val="24"/>
          <w:szCs w:val="24"/>
        </w:rPr>
        <w:t xml:space="preserve">XVIII сессии Ошского</w:t>
      </w:r>
    </w:p>
    <w:p>
      <w:pPr>
        <w:spacing w:after="120"/>
        <w:jc w:val="right"/>
      </w:pPr>
      <w:r>
        <w:rPr>
          <w:rFonts w:ascii="Arial" w:cs="Arial" w:eastAsia="Arial" w:hAnsi="Arial"/>
          <w:sz w:val="24"/>
          <w:szCs w:val="24"/>
        </w:rPr>
        <w:t xml:space="preserve">городского Кенеша</w:t>
      </w:r>
    </w:p>
    <w:p>
      <w:pPr>
        <w:spacing w:after="120"/>
        <w:jc w:val="right"/>
      </w:pPr>
      <w:r>
        <w:rPr>
          <w:rFonts w:ascii="Arial" w:cs="Arial" w:eastAsia="Arial" w:hAnsi="Arial"/>
          <w:sz w:val="24"/>
          <w:szCs w:val="24"/>
        </w:rPr>
        <w:t xml:space="preserve">№146 от 26.12. 2018</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Мэрия города Ош</w:t>
      </w:r>
    </w:p>
    <w:p>
      <w:pPr>
        <w:spacing w:after="120"/>
        <w:jc w:val="center"/>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«Курс на устойчивое развитие»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развития города Ош на 2019-2020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Город Ош, 2018 год</w:t>
      </w:r>
    </w:p>
    <w:p>
      <w:pPr>
        <w:spacing w:after="240" w:before="200"/>
        <w:jc w:val="center"/>
      </w:pPr>
      <w:r>
        <w:rPr>
          <w:rFonts w:ascii="Arial" w:cs="Arial" w:eastAsia="Arial" w:hAnsi="Arial"/>
          <w:b/>
          <w:bCs/>
          <w:sz w:val="32"/>
          <w:szCs w:val="32"/>
        </w:rPr>
        <w:t xml:space="preserve">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                                                                                                                                       3</w:t>
      </w:r>
    </w:p>
    <w:p>
      <w:pPr>
        <w:spacing w:after="120"/>
        <w:jc w:val="both"/>
      </w:pPr>
      <w:r>
        <w:rPr>
          <w:rFonts w:ascii="Arial" w:cs="Arial" w:eastAsia="Arial" w:hAnsi="Arial"/>
          <w:sz w:val="24"/>
          <w:szCs w:val="24"/>
        </w:rPr>
        <w:t xml:space="preserve">1. Общая информация о современном состоянии города Ош                                           4</w:t>
      </w:r>
    </w:p>
    <w:p>
      <w:pPr>
        <w:spacing w:after="120"/>
        <w:jc w:val="both"/>
      </w:pPr>
      <w:r>
        <w:rPr>
          <w:rFonts w:ascii="Arial" w:cs="Arial" w:eastAsia="Arial" w:hAnsi="Arial"/>
          <w:sz w:val="24"/>
          <w:szCs w:val="24"/>
        </w:rPr>
        <w:t xml:space="preserve">2. Актуальность и цели программы                                                                                          5</w:t>
      </w:r>
    </w:p>
    <w:p>
      <w:pPr>
        <w:spacing w:after="120"/>
        <w:jc w:val="both"/>
      </w:pPr>
      <w:r>
        <w:rPr>
          <w:rFonts w:ascii="Arial" w:cs="Arial" w:eastAsia="Arial" w:hAnsi="Arial"/>
          <w:sz w:val="24"/>
          <w:szCs w:val="24"/>
        </w:rPr>
        <w:t xml:space="preserve">3. Приоритеты, задачи и планы-мероприятия                                                                        6</w:t>
      </w:r>
    </w:p>
    <w:p>
      <w:pPr>
        <w:spacing w:after="120"/>
        <w:jc w:val="both"/>
      </w:pPr>
      <w:r>
        <w:rPr>
          <w:rFonts w:ascii="Arial" w:cs="Arial" w:eastAsia="Arial" w:hAnsi="Arial"/>
          <w:sz w:val="24"/>
          <w:szCs w:val="24"/>
        </w:rPr>
        <w:t xml:space="preserve">Приоритет I. Повышение экономического потенциала                                                   6</w:t>
      </w:r>
    </w:p>
    <w:p>
      <w:pPr>
        <w:spacing w:after="120"/>
        <w:jc w:val="both"/>
      </w:pPr>
      <w:r>
        <w:rPr>
          <w:rFonts w:ascii="Arial" w:cs="Arial" w:eastAsia="Arial" w:hAnsi="Arial"/>
          <w:sz w:val="24"/>
          <w:szCs w:val="24"/>
        </w:rPr>
        <w:t xml:space="preserve">Приоритет II. Улучшение коммунально-хозяйственной инфраструктуры                     7</w:t>
      </w:r>
    </w:p>
    <w:p>
      <w:pPr>
        <w:spacing w:after="120"/>
        <w:jc w:val="both"/>
      </w:pPr>
      <w:r>
        <w:rPr>
          <w:rFonts w:ascii="Arial" w:cs="Arial" w:eastAsia="Arial" w:hAnsi="Arial"/>
          <w:sz w:val="24"/>
          <w:szCs w:val="24"/>
        </w:rPr>
        <w:t xml:space="preserve">Приоритет III. Социальное развитие                                                                                    8</w:t>
      </w:r>
    </w:p>
    <w:p>
      <w:pPr>
        <w:spacing w:after="120"/>
        <w:jc w:val="both"/>
      </w:pPr>
      <w:r>
        <w:rPr>
          <w:rFonts w:ascii="Arial" w:cs="Arial" w:eastAsia="Arial" w:hAnsi="Arial"/>
          <w:sz w:val="24"/>
          <w:szCs w:val="24"/>
        </w:rPr>
        <w:t xml:space="preserve">4. Ожидаемые результаты                                                                                                           9</w:t>
      </w:r>
    </w:p>
    <w:p>
      <w:pPr>
        <w:spacing w:after="120"/>
        <w:jc w:val="both"/>
      </w:pPr>
      <w:r>
        <w:rPr>
          <w:rFonts w:ascii="Arial" w:cs="Arial" w:eastAsia="Arial" w:hAnsi="Arial"/>
          <w:sz w:val="24"/>
          <w:szCs w:val="24"/>
        </w:rPr>
        <w:t xml:space="preserve">5. Вызовы и риски                                                                                                                          10</w:t>
      </w:r>
    </w:p>
    <w:p>
      <w:pPr>
        <w:spacing w:after="120"/>
        <w:jc w:val="both"/>
      </w:pPr>
      <w:r>
        <w:rPr>
          <w:rFonts w:ascii="Arial" w:cs="Arial" w:eastAsia="Arial" w:hAnsi="Arial"/>
          <w:sz w:val="24"/>
          <w:szCs w:val="24"/>
        </w:rPr>
        <w:t xml:space="preserve">6. Процесс реализации                                                                                                                  10</w:t>
      </w:r>
    </w:p>
    <w:p>
      <w:pPr>
        <w:spacing w:after="120"/>
        <w:jc w:val="both"/>
      </w:pPr>
      <w:r>
        <w:rPr>
          <w:rFonts w:ascii="Arial" w:cs="Arial" w:eastAsia="Arial" w:hAnsi="Arial"/>
          <w:sz w:val="24"/>
          <w:szCs w:val="24"/>
        </w:rPr>
        <w:t xml:space="preserve">6.1. Плановая часть программы ( План мероприятий)                                                            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Программа «Курс на устойчивое развитие» определяет цели, приоритеты и задачи устойчивого развития города Ош до 2020 года.</w:t>
      </w:r>
    </w:p>
    <w:p>
      <w:pPr>
        <w:spacing w:after="120"/>
        <w:jc w:val="both"/>
      </w:pPr>
      <w:r>
        <w:rPr>
          <w:rFonts w:ascii="Arial" w:cs="Arial" w:eastAsia="Arial" w:hAnsi="Arial"/>
          <w:sz w:val="24"/>
          <w:szCs w:val="24"/>
        </w:rPr>
        <w:t xml:space="preserve">Цель курса на устойчивое развитие-создание благоприятных условий для всестороннего улучшения жизни жителей города на ближайшее будущее.</w:t>
      </w:r>
    </w:p>
    <w:p>
      <w:pPr>
        <w:spacing w:after="120"/>
        <w:jc w:val="both"/>
      </w:pPr>
      <w:r>
        <w:rPr>
          <w:rFonts w:ascii="Arial" w:cs="Arial" w:eastAsia="Arial" w:hAnsi="Arial"/>
          <w:sz w:val="24"/>
          <w:szCs w:val="24"/>
        </w:rPr>
        <w:t xml:space="preserve">Программа разработана с участием местных органов власти, заинтересованных бизнес-структур, неправительственных организаций и экспертов и включает мероприятия, реализуемые в рамках полномочий мэрии города Ош, закрепленные </w:t>
      </w:r>
      <w:hyperlink w:history="1" r:id="rIdt_i9wl6cw0j5o7qjynvu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города Ош”. Также при разработке программы учтены мероприятия генерального плана города Ош до 2025 года.</w:t>
      </w:r>
    </w:p>
    <w:p>
      <w:pPr>
        <w:spacing w:after="120"/>
        <w:jc w:val="both"/>
      </w:pPr>
      <w:r>
        <w:rPr>
          <w:rFonts w:ascii="Arial" w:cs="Arial" w:eastAsia="Arial" w:hAnsi="Arial"/>
          <w:sz w:val="24"/>
          <w:szCs w:val="24"/>
        </w:rPr>
        <w:t xml:space="preserve">В программе использованы итоги социально-экономического развития города Ош за последние годы и прогнозы макроэкономических показателей на 2019-2020 годы.</w:t>
      </w:r>
    </w:p>
    <w:p>
      <w:pPr>
        <w:spacing w:after="120"/>
        <w:jc w:val="both"/>
      </w:pPr>
      <w:r>
        <w:rPr>
          <w:rFonts w:ascii="Arial" w:cs="Arial" w:eastAsia="Arial" w:hAnsi="Arial"/>
          <w:sz w:val="24"/>
          <w:szCs w:val="24"/>
        </w:rPr>
        <w:t xml:space="preserve">Всего на реализацию программы будет направлено 6328,0 млн. сомов. Из них 448,2 млн. сомов из местного бюджета, 309,7 млн. сомов из республиканского бюджета, будут привлечены 5570,1 млн. сомов инвестиций.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Общая информация о современном состоянии города Ош</w:t>
      </w:r>
    </w:p>
    <w:p>
      <w:pPr>
        <w:spacing w:after="120"/>
        <w:jc w:val="both"/>
      </w:pPr>
      <w:r>
        <w:rPr>
          <w:rFonts w:ascii="Arial" w:cs="Arial" w:eastAsia="Arial" w:hAnsi="Arial"/>
          <w:sz w:val="24"/>
          <w:szCs w:val="24"/>
        </w:rPr>
        <w:t xml:space="preserve">В январе-ноябре 2018 года промышленными предприятиями произведено продукции на сумму 4,0 млрд. сомов, индекс физического объема составил к январю-ноябрю 2017 года 102,8 процента.</w:t>
      </w:r>
    </w:p>
    <w:p>
      <w:pPr>
        <w:spacing w:after="120"/>
        <w:jc w:val="both"/>
      </w:pPr>
      <w:r>
        <w:rPr>
          <w:rFonts w:ascii="Arial" w:cs="Arial" w:eastAsia="Arial" w:hAnsi="Arial"/>
          <w:sz w:val="24"/>
          <w:szCs w:val="24"/>
        </w:rPr>
        <w:t xml:space="preserve">Объем продукции обрабатывающих производств от общего объема промышленности в январе-ноябре 2018 года составил 39,8 процентов, объем водоснабжения, очистки, обработки отходов и получения вторичного сырья 6,0 процентов и объем обеспечения электроэнергией, газом, паром и кондицированным воздухом составил 54,2 процента.</w:t>
      </w:r>
    </w:p>
    <w:p>
      <w:pPr>
        <w:spacing w:after="120"/>
        <w:jc w:val="both"/>
      </w:pPr>
      <w:r>
        <w:rPr>
          <w:rFonts w:ascii="Arial" w:cs="Arial" w:eastAsia="Arial" w:hAnsi="Arial"/>
          <w:sz w:val="24"/>
          <w:szCs w:val="24"/>
        </w:rPr>
        <w:t xml:space="preserve">Валовой выпуск продукции сельского хозяйства составил 945,7 млн. сомов, индекс физического объема составил 102,5 процентов.</w:t>
      </w:r>
    </w:p>
    <w:p>
      <w:pPr>
        <w:spacing w:after="120"/>
        <w:jc w:val="both"/>
      </w:pPr>
      <w:r>
        <w:rPr>
          <w:rFonts w:ascii="Arial" w:cs="Arial" w:eastAsia="Arial" w:hAnsi="Arial"/>
          <w:sz w:val="24"/>
          <w:szCs w:val="24"/>
        </w:rPr>
        <w:t xml:space="preserve">В общем объеме производства сельскохозяйственной продукции в январе-ноябре текущего года продукция животноводства составила 44,6 процента, растениеводства - 47,3 процента, лесного хозяйства - 6,2 процента и услуги, оказываемые в сельском хозяйстве - 1,9 процент.</w:t>
      </w:r>
    </w:p>
    <w:p>
      <w:pPr>
        <w:spacing w:after="120"/>
        <w:jc w:val="both"/>
      </w:pPr>
      <w:r>
        <w:rPr>
          <w:rFonts w:ascii="Arial" w:cs="Arial" w:eastAsia="Arial" w:hAnsi="Arial"/>
          <w:sz w:val="24"/>
          <w:szCs w:val="24"/>
        </w:rPr>
        <w:t xml:space="preserve">Общий объем валовой продукции строительства в январе-ноябре 2018 года составил 4,4 млрд. сомов, что на 12,5 процента больше соответствущего периода 2017 года.</w:t>
      </w:r>
    </w:p>
    <w:p>
      <w:pPr>
        <w:spacing w:after="120"/>
        <w:jc w:val="both"/>
      </w:pPr>
      <w:r>
        <w:rPr>
          <w:rFonts w:ascii="Arial" w:cs="Arial" w:eastAsia="Arial" w:hAnsi="Arial"/>
          <w:sz w:val="24"/>
          <w:szCs w:val="24"/>
        </w:rPr>
        <w:t xml:space="preserve">Уровень освоения инвестиций в основной капитал по сравнению с январь-ноябрем 2017 года вырос на 0,3 процента и составил 3,0 млрд. сомов.</w:t>
      </w:r>
    </w:p>
    <w:p>
      <w:pPr>
        <w:spacing w:after="120"/>
        <w:jc w:val="both"/>
      </w:pPr>
      <w:r>
        <w:rPr>
          <w:rFonts w:ascii="Arial" w:cs="Arial" w:eastAsia="Arial" w:hAnsi="Arial"/>
          <w:sz w:val="24"/>
          <w:szCs w:val="24"/>
        </w:rPr>
        <w:t xml:space="preserve">В январе-ноябре 2018 года объемы грузоперевозок автомобильным транспортом по сравнению с соответствующим периодом 2017 года вырос на 18,9 тыс.тонн или на 3,8 %.</w:t>
      </w:r>
    </w:p>
    <w:p>
      <w:pPr>
        <w:spacing w:after="120"/>
        <w:jc w:val="both"/>
      </w:pPr>
      <w:r>
        <w:rPr>
          <w:rFonts w:ascii="Arial" w:cs="Arial" w:eastAsia="Arial" w:hAnsi="Arial"/>
          <w:sz w:val="24"/>
          <w:szCs w:val="24"/>
        </w:rPr>
        <w:t xml:space="preserve">Объем оказанных рыночных услуг населению в январе-ноябре 2018 года составил в сумме 53,5 млрд.сомов (в январе-ноябре 2017 года – 51,7 млрд.сомов) и по сравнению с соответствующим периодом 2017 года вырос на 3,5 %.</w:t>
      </w:r>
    </w:p>
    <w:p>
      <w:pPr>
        <w:spacing w:after="120"/>
        <w:jc w:val="both"/>
      </w:pPr>
      <w:r>
        <w:rPr>
          <w:rFonts w:ascii="Arial" w:cs="Arial" w:eastAsia="Arial" w:hAnsi="Arial"/>
          <w:sz w:val="24"/>
          <w:szCs w:val="24"/>
        </w:rPr>
        <w:t xml:space="preserve">В октябре месяце 2018 года среднесписочная численность работников составила 35 342 человек, среднемесячная номинальная заработная плата одного работника (без учета малых предприятий) составила 13 912 сомов и увеличилась на 3,2 % по сравнению с октябрем месяцем 2017 года, а ее реальный размер, исчисленный с учетом индекса потребительских цен, увеличился на 0,5 процента.</w:t>
      </w:r>
    </w:p>
    <w:p>
      <w:pPr>
        <w:spacing w:after="120"/>
        <w:jc w:val="both"/>
      </w:pPr>
      <w:r>
        <w:rPr>
          <w:rFonts w:ascii="Arial" w:cs="Arial" w:eastAsia="Arial" w:hAnsi="Arial"/>
          <w:sz w:val="24"/>
          <w:szCs w:val="24"/>
        </w:rPr>
        <w:t xml:space="preserve">Исходя из официального курса валют, установленного Национальным банком Кыргызской Республики, среднемесячная заработная плата одного работника в октябре месяце 2018 года составила 200,8 долларов США.</w:t>
      </w:r>
    </w:p>
    <w:p>
      <w:pPr>
        <w:spacing w:after="120"/>
        <w:jc w:val="both"/>
      </w:pPr>
      <w:r>
        <w:rPr>
          <w:rFonts w:ascii="Arial" w:cs="Arial" w:eastAsia="Arial" w:hAnsi="Arial"/>
          <w:sz w:val="24"/>
          <w:szCs w:val="24"/>
        </w:rPr>
        <w:t xml:space="preserve">Индекс потребительских цен (ИПЦ), характеризующий уровень инфляции, в январе-ноябре 2018 года составил 100,3 %.</w:t>
      </w:r>
    </w:p>
    <w:p>
      <w:pPr>
        <w:spacing w:after="120"/>
        <w:jc w:val="both"/>
      </w:pPr>
      <w:r>
        <w:rPr>
          <w:rFonts w:ascii="Arial" w:cs="Arial" w:eastAsia="Arial" w:hAnsi="Arial"/>
          <w:sz w:val="24"/>
          <w:szCs w:val="24"/>
        </w:rPr>
        <w:t xml:space="preserve">В этом периоде ИПЦ на услуги, оказываемые населению выросли на 4,7 %, алкогольные напитки на 1,0 % и непродовольственные товары на 1,1 %, в то же время на пищевые продукты и безалкогольные напитки понизились на 3,2 процента</w:t>
      </w:r>
    </w:p>
    <w:p>
      <w:pPr>
        <w:spacing w:after="120"/>
        <w:jc w:val="both"/>
      </w:pPr>
      <w:r>
        <w:rPr>
          <w:rFonts w:ascii="Arial" w:cs="Arial" w:eastAsia="Arial" w:hAnsi="Arial"/>
          <w:sz w:val="24"/>
          <w:szCs w:val="24"/>
        </w:rPr>
        <w:t xml:space="preserve">Внешнеторговый оборот города (на основе данных таможенной статистики) в январе-октябре 2018 года составил 160,2 млн. долларов США и по сравнению с соответствующим периодом предыдущего года уменьшился на 35,8 процента. Сальдо торгового баланса сложилось отрицательное (-) в размере 112,8 млн. долларов США (при отрицательном (-) 175,7 млн. долларов США в январе-октябре 2017 года).</w:t>
      </w:r>
    </w:p>
    <w:p>
      <w:pPr>
        <w:spacing w:after="120"/>
        <w:jc w:val="both"/>
      </w:pPr>
      <w:r>
        <w:rPr>
          <w:rFonts w:ascii="Arial" w:cs="Arial" w:eastAsia="Arial" w:hAnsi="Arial"/>
          <w:sz w:val="24"/>
          <w:szCs w:val="24"/>
        </w:rPr>
        <w:t xml:space="preserve">Экспортные поставки по сравнению с соответствующим периодом 2017 года уменьшились на 35,8 процента и составили 23,7 млн. долларов США.</w:t>
      </w:r>
    </w:p>
    <w:p>
      <w:pPr>
        <w:spacing w:after="120"/>
        <w:jc w:val="both"/>
      </w:pPr>
      <w:r>
        <w:rPr>
          <w:rFonts w:ascii="Arial" w:cs="Arial" w:eastAsia="Arial" w:hAnsi="Arial"/>
          <w:sz w:val="24"/>
          <w:szCs w:val="24"/>
        </w:rPr>
        <w:t xml:space="preserve">Импортные поступления уменьшились на 35,8 процента и составили 136,5 млн. долларов США.</w:t>
      </w:r>
    </w:p>
    <w:p>
      <w:pPr>
        <w:spacing w:after="120"/>
        <w:jc w:val="both"/>
      </w:pPr>
      <w:r>
        <w:rPr>
          <w:rFonts w:ascii="Arial" w:cs="Arial" w:eastAsia="Arial" w:hAnsi="Arial"/>
          <w:sz w:val="24"/>
          <w:szCs w:val="24"/>
        </w:rPr>
        <w:t xml:space="preserve">При плане налоговых и неналоговых сборов местного бюджета с учетом специальных средств бюджетных учреждений в сумме 867,1 мл.сомов, фактическое исполнение составило 881,8 млн.сомов или по сравнению с планом перевыполнен на 14,8 млн.сомов.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Актуальность и цели программы “Курс на устойчивое развитие”</w:t>
      </w:r>
    </w:p>
    <w:p>
      <w:pPr>
        <w:spacing w:after="240" w:before="200"/>
        <w:jc w:val="center"/>
      </w:pPr>
      <w:r>
        <w:rPr>
          <w:rFonts w:ascii="Arial" w:cs="Arial" w:eastAsia="Arial" w:hAnsi="Arial"/>
          <w:b/>
          <w:bCs/>
          <w:sz w:val="32"/>
          <w:szCs w:val="32"/>
        </w:rPr>
        <w:t xml:space="preserve">2.1. Актуальность программы</w:t>
      </w:r>
    </w:p>
    <w:p>
      <w:pPr>
        <w:spacing w:after="120"/>
        <w:jc w:val="both"/>
      </w:pPr>
      <w:r>
        <w:rPr>
          <w:rFonts w:ascii="Arial" w:cs="Arial" w:eastAsia="Arial" w:hAnsi="Arial"/>
          <w:sz w:val="24"/>
          <w:szCs w:val="24"/>
        </w:rPr>
        <w:t xml:space="preserve">Согласно законам урбанистики управление жизнедеятельностью и перспекивное развитие крупных городов обеспечивается на основе стратегического планирования и устойчивого развития.</w:t>
      </w:r>
    </w:p>
    <w:p>
      <w:pPr>
        <w:spacing w:after="120"/>
        <w:jc w:val="both"/>
      </w:pPr>
      <w:r>
        <w:rPr>
          <w:rFonts w:ascii="Arial" w:cs="Arial" w:eastAsia="Arial" w:hAnsi="Arial"/>
          <w:sz w:val="24"/>
          <w:szCs w:val="24"/>
        </w:rPr>
        <w:t xml:space="preserve">Решение накопленных за последние годы проблем требуют систематизации, приоритетизации и определения обязанностей. В связи с чем, возникает необходимость развитие приоритетных отраслей, исходя из актульности проблем и на основе приоритетов выделение ресурсов.</w:t>
      </w:r>
    </w:p>
    <w:p>
      <w:pPr>
        <w:spacing w:after="120"/>
        <w:jc w:val="both"/>
      </w:pPr>
      <w:r>
        <w:rPr>
          <w:rFonts w:ascii="Arial" w:cs="Arial" w:eastAsia="Arial" w:hAnsi="Arial"/>
          <w:sz w:val="24"/>
          <w:szCs w:val="24"/>
        </w:rPr>
        <w:t xml:space="preserve">В рамках программы основными экономическими приоритетами города Ош определены развитие малого и среднего бизнеса, легкой промышленности, туризма и торгово-транспортной логистики. Основными проблемами жителей города определены обеспечение чистой питьевой водой, устарелость инженерно-коммуникационных сетей, качество внутренних дорог, пробки, состояние коммунального хозяйства многоэтажных домов.</w:t>
      </w:r>
    </w:p>
    <w:p>
      <w:pPr>
        <w:spacing w:after="120"/>
        <w:jc w:val="both"/>
      </w:pPr>
      <w:r>
        <w:rPr>
          <w:rFonts w:ascii="Arial" w:cs="Arial" w:eastAsia="Arial" w:hAnsi="Arial"/>
          <w:sz w:val="24"/>
          <w:szCs w:val="24"/>
        </w:rPr>
        <w:t xml:space="preserve">В социально-гуманитарной сфере основное внимание будет уделено обеспечению дошкольными учреждениями, повышению среднего и инновационного образования.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Цели программы</w:t>
      </w:r>
    </w:p>
    <w:p>
      <w:pPr>
        <w:spacing w:after="120"/>
        <w:jc w:val="both"/>
      </w:pPr>
      <w:r>
        <w:rPr>
          <w:rFonts w:ascii="Arial" w:cs="Arial" w:eastAsia="Arial" w:hAnsi="Arial"/>
          <w:sz w:val="24"/>
          <w:szCs w:val="24"/>
        </w:rPr>
        <w:t xml:space="preserve">1. Превращение города Ош к городу взявщей курс на устойчивое развитие, создание условий для всестороннего улучшения жизни населения</w:t>
      </w:r>
    </w:p>
    <w:p>
      <w:pPr>
        <w:spacing w:after="120"/>
        <w:jc w:val="both"/>
      </w:pPr>
      <w:r>
        <w:rPr>
          <w:rFonts w:ascii="Arial" w:cs="Arial" w:eastAsia="Arial" w:hAnsi="Arial"/>
          <w:sz w:val="24"/>
          <w:szCs w:val="24"/>
        </w:rPr>
        <w:t xml:space="preserve">2. Стимулирование развития всех приоритетных отраслей города Ош.</w:t>
      </w:r>
    </w:p>
    <w:p>
      <w:pPr>
        <w:spacing w:after="240" w:before="200"/>
        <w:jc w:val="center"/>
      </w:pPr>
      <w:r>
        <w:rPr>
          <w:rFonts w:ascii="Arial" w:cs="Arial" w:eastAsia="Arial" w:hAnsi="Arial"/>
          <w:b/>
          <w:bCs/>
          <w:sz w:val="32"/>
          <w:szCs w:val="32"/>
        </w:rPr>
        <w:t xml:space="preserve">3. Обеспечение развития потенциала человеческого капитала.</w:t>
      </w:r>
    </w:p>
    <w:p>
      <w:pPr>
        <w:spacing w:after="240" w:before="200"/>
        <w:jc w:val="center"/>
      </w:pPr>
      <w:r>
        <w:rPr>
          <w:rFonts w:ascii="Arial" w:cs="Arial" w:eastAsia="Arial" w:hAnsi="Arial"/>
          <w:b/>
          <w:bCs/>
          <w:sz w:val="32"/>
          <w:szCs w:val="32"/>
        </w:rPr>
        <w:t xml:space="preserve">3. Приоритеты, задачи и планы-мероприятия</w:t>
      </w:r>
    </w:p>
    <w:p>
      <w:pPr>
        <w:spacing w:after="240" w:before="200"/>
        <w:jc w:val="center"/>
      </w:pPr>
      <w:r>
        <w:rPr>
          <w:rFonts w:ascii="Arial" w:cs="Arial" w:eastAsia="Arial" w:hAnsi="Arial"/>
          <w:b/>
          <w:bCs/>
          <w:sz w:val="32"/>
          <w:szCs w:val="32"/>
        </w:rPr>
        <w:t xml:space="preserve">Приоритет I.</w:t>
      </w:r>
    </w:p>
    <w:p>
      <w:pPr>
        <w:spacing w:after="240" w:before="200"/>
        <w:jc w:val="center"/>
      </w:pPr>
      <w:r>
        <w:rPr>
          <w:rFonts w:ascii="Arial" w:cs="Arial" w:eastAsia="Arial" w:hAnsi="Arial"/>
          <w:b/>
          <w:bCs/>
          <w:sz w:val="32"/>
          <w:szCs w:val="32"/>
        </w:rPr>
        <w:t xml:space="preserve">Повышение экономического потенциала</w:t>
      </w:r>
    </w:p>
    <w:p>
      <w:pPr>
        <w:spacing w:after="120"/>
        <w:jc w:val="both"/>
      </w:pPr>
      <w:r>
        <w:rPr>
          <w:rFonts w:ascii="Arial" w:cs="Arial" w:eastAsia="Arial" w:hAnsi="Arial"/>
          <w:sz w:val="24"/>
          <w:szCs w:val="24"/>
        </w:rPr>
        <w:t xml:space="preserve">Экономическая политика будет основана на максимально эффективном использовании всех ключевых преимуществ и возможностей города. К ним относятся: малый и средний бизнес, легкая и перерабатывающая промышленность, а также туризм. Город Ош по праву можно считать, что он издревле был центром малого и среднего бизнеса. Практически каждое сооружение здесь представляло собой какую-то мастерскую, цех или торговую лавку. Эта сфера и сейчас является основным полем занятости населения и составляет значительный источник пополнения городской казны. Всячески будет поддержана эта отрасль, будут созданы благоприятные условия для ее развития, будут приняты меры по недопущению влияния криминальных элементов и нежелательных проверок со стороны госорганов.</w:t>
      </w:r>
    </w:p>
    <w:p>
      <w:pPr>
        <w:spacing w:after="120"/>
        <w:jc w:val="both"/>
      </w:pPr>
      <w:r>
        <w:rPr>
          <w:rFonts w:ascii="Arial" w:cs="Arial" w:eastAsia="Arial" w:hAnsi="Arial"/>
          <w:sz w:val="24"/>
          <w:szCs w:val="24"/>
        </w:rPr>
        <w:t xml:space="preserve">Второй сферой, будет – легкая и перерабатывающая промышленность. В районах, окружающих город Ош, производится огромное количество сельскохозяйственной продукции. Задача мэрии- создание на территории города ряда предприятий по переработке этих продуктов. Для этих целей в ускоренном темпе будет решаться вопрос выделения земельных участков за счет территорий массива Кен-Сай и создания там необходимых инфраструктурных условий.</w:t>
      </w:r>
    </w:p>
    <w:p>
      <w:pPr>
        <w:spacing w:after="120"/>
        <w:jc w:val="both"/>
      </w:pPr>
      <w:r>
        <w:rPr>
          <w:rFonts w:ascii="Arial" w:cs="Arial" w:eastAsia="Arial" w:hAnsi="Arial"/>
          <w:sz w:val="24"/>
          <w:szCs w:val="24"/>
        </w:rPr>
        <w:t xml:space="preserve">Третья сфера- это туризм. Город Ош обладает достаточно привлекательными для туристов фишками: древняя история, легендарные достопримечательности, демократические цены на товары и услуги. Священная гора Сулайман-Тоо почитаема миллионами людей в Азии – это прекрасная возможность для организации паломнического туризма. Кроме этого многообразная и богатая кухня города, а также дешевые рынки и магазины создают предпосылки для развития гастрономического и шопинг туризма. Еще одним перспективным направлением является образовательный туризм. В Оше в настоящее время обучается большое количество студентов из Индии, Пакистана и Бангладеша. Не секрет, что желающих получить образование в городе еще больше, поэтому совместно с вузами должны использовать эту возможность..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Приоритет II.</w:t>
      </w:r>
    </w:p>
    <w:p>
      <w:pPr>
        <w:spacing w:after="240" w:before="200"/>
        <w:jc w:val="center"/>
      </w:pPr>
      <w:r>
        <w:rPr>
          <w:rFonts w:ascii="Arial" w:cs="Arial" w:eastAsia="Arial" w:hAnsi="Arial"/>
          <w:b/>
          <w:bCs/>
          <w:sz w:val="32"/>
          <w:szCs w:val="32"/>
        </w:rPr>
        <w:t xml:space="preserve">Улучшение коммунально-хозяйственной инфраструктуры</w:t>
      </w:r>
    </w:p>
    <w:p>
      <w:pPr>
        <w:spacing w:after="120"/>
        <w:jc w:val="both"/>
      </w:pPr>
      <w:r>
        <w:rPr>
          <w:rFonts w:ascii="Arial" w:cs="Arial" w:eastAsia="Arial" w:hAnsi="Arial"/>
          <w:sz w:val="24"/>
          <w:szCs w:val="24"/>
        </w:rPr>
        <w:t xml:space="preserve">Улучшение коммунально-хозяйственной инфраструктуры города всегда будет в нашей повестке дня. Главной проблемой города и главной своей задачей будет обеспечение горожан бесперебойной и качественной питьевой водой. Для решения данного вопроса будут направлены все финансовые возможности местного бюджета, а также привлеченные средства доноров и республиканского бюджета. Учитывая сверхактуальность этого вопроса, возможно, стоит даже рассмотреть целесообразность заморозки всех остальных капитальных вложений до момента полного разрешения проблемы с чистой водой в городе.</w:t>
      </w:r>
    </w:p>
    <w:p>
      <w:pPr>
        <w:spacing w:after="120"/>
        <w:jc w:val="both"/>
      </w:pPr>
      <w:r>
        <w:rPr>
          <w:rFonts w:ascii="Arial" w:cs="Arial" w:eastAsia="Arial" w:hAnsi="Arial"/>
          <w:sz w:val="24"/>
          <w:szCs w:val="24"/>
        </w:rPr>
        <w:t xml:space="preserve">Приоритетом также будет качественное улучшение жилищно-коммунальных условий в многоквартирных домах. При решении этих вопросов будем опираться на методы государственно-частного партнерства. Будут привлечены частные компании, которые будут заниматься установкой в подъездах домофонных устройств. Эта мера должна создать предпосылки для улучшения ситуации с освещением, чистотой и безопасностью в подъездах многоквартирных домов. Вместе с этим будет организована кампания по повышению гражданского сознания горожан, их информированности о своих правах и обязанностях при взаимодействии с муниципальными службами. Для осуществления этой работы планируется сотрудничество с международными и неправительственными организациями.</w:t>
      </w:r>
    </w:p>
    <w:p>
      <w:pPr>
        <w:spacing w:after="120"/>
        <w:jc w:val="both"/>
      </w:pPr>
      <w:r>
        <w:rPr>
          <w:rFonts w:ascii="Arial" w:cs="Arial" w:eastAsia="Arial" w:hAnsi="Arial"/>
          <w:sz w:val="24"/>
          <w:szCs w:val="24"/>
        </w:rPr>
        <w:t xml:space="preserve">Повышенное внимание будет уделяться решению проблем с качеством дорог и уличными заторами. Совместно с Правительством КР будет решаться вопрос строительства объездных маршрутов для дорог республиканского и международного значения. При строительстве внутренних дорог акцент будет ставиться, прежде всего, на качество. Все новые строительства дорожно-транспортных объектов должны будут отвечать требованиям современности и самым высоким стандартам.</w:t>
      </w:r>
    </w:p>
    <w:p>
      <w:pPr>
        <w:spacing w:after="120"/>
        <w:jc w:val="both"/>
      </w:pPr>
      <w:r>
        <w:rPr>
          <w:rFonts w:ascii="Arial" w:cs="Arial" w:eastAsia="Arial" w:hAnsi="Arial"/>
          <w:sz w:val="24"/>
          <w:szCs w:val="24"/>
        </w:rPr>
        <w:t xml:space="preserve">В вопросе пассажирских перевозок будет тщательно изучен опыт иностранных городов. Если специалисты докажут, что так будет лучше, будут рассмотрены возможности отказа от муниципального пассажирского автопарка в пользу частных компаний, которые предложат наилучшие условия для пассажиров с точки зрения качества автопарка и ценовой политики. При этом все льготные условия для особых категорий людей должны сохраниться.</w:t>
      </w:r>
    </w:p>
    <w:p>
      <w:pPr>
        <w:spacing w:after="120"/>
        <w:jc w:val="both"/>
      </w:pPr>
      <w:r>
        <w:rPr>
          <w:rFonts w:ascii="Arial" w:cs="Arial" w:eastAsia="Arial" w:hAnsi="Arial"/>
          <w:sz w:val="24"/>
          <w:szCs w:val="24"/>
        </w:rPr>
        <w:t xml:space="preserve">Частные застройки также будут взяты под тщательный контроль. Должны быть соблюдены застройщиками все архитектурные, строительные нормы и требования законодательства.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Приоритет III.</w:t>
      </w:r>
    </w:p>
    <w:p>
      <w:pPr>
        <w:spacing w:after="240" w:before="200"/>
        <w:jc w:val="center"/>
      </w:pPr>
      <w:r>
        <w:rPr>
          <w:rFonts w:ascii="Arial" w:cs="Arial" w:eastAsia="Arial" w:hAnsi="Arial"/>
          <w:b/>
          <w:bCs/>
          <w:sz w:val="32"/>
          <w:szCs w:val="32"/>
        </w:rPr>
        <w:t xml:space="preserve">Социальное развитие</w:t>
      </w:r>
    </w:p>
    <w:p>
      <w:pPr>
        <w:spacing w:after="120"/>
        <w:jc w:val="both"/>
      </w:pPr>
      <w:r>
        <w:rPr>
          <w:rFonts w:ascii="Arial" w:cs="Arial" w:eastAsia="Arial" w:hAnsi="Arial"/>
          <w:sz w:val="24"/>
          <w:szCs w:val="24"/>
        </w:rPr>
        <w:t xml:space="preserve">В социальной сфере максимальные усилия будут направлены на улучшение качества школьного образования. С учетом современных тенденций на рынке труда, когда вновь и вновь возникают новые востребованные профессии, мэрия должна сделать так, чтобы наше школьное образование давало учащимся тот необходимый минимум знаний и компетенций, с помощью которых человек будет способен быстро и легко сменить профессию. Это, прежде всего, должны быть знания иностранных языков (английский, китайский) и основ программирования и информатики. В этой связи мэрия и городское управление образования должны привлекать в наши школы специалистов, которые смогут дать детям такие нужные знания. Совместно с международными организациями следует разработать программу волонтерства иностранных учителей в наши школы, а также стимулирующие меры для лучших местных кадров.</w:t>
      </w:r>
    </w:p>
    <w:p>
      <w:pPr>
        <w:spacing w:after="120"/>
        <w:jc w:val="both"/>
      </w:pPr>
      <w:r>
        <w:rPr>
          <w:rFonts w:ascii="Arial" w:cs="Arial" w:eastAsia="Arial" w:hAnsi="Arial"/>
          <w:sz w:val="24"/>
          <w:szCs w:val="24"/>
        </w:rPr>
        <w:t xml:space="preserve">Внешкольное образование детей также не останется без внимания. При школах и творческих центрах будут организованы кружки для интересующихся конструкторством и инженерным моделированием.</w:t>
      </w:r>
    </w:p>
    <w:p>
      <w:pPr>
        <w:spacing w:after="120"/>
        <w:jc w:val="both"/>
      </w:pPr>
      <w:r>
        <w:rPr>
          <w:rFonts w:ascii="Arial" w:cs="Arial" w:eastAsia="Arial" w:hAnsi="Arial"/>
          <w:sz w:val="24"/>
          <w:szCs w:val="24"/>
        </w:rPr>
        <w:t xml:space="preserve">Особое внимание будет уделено также проблеме нехватки дошкольных учреждений. По этой части будет активизирована работа по строительству государственных детсадов. Кроме того, должны приняты определенные стимулирующие пакеты для тех, кто планирует построить частные детские сады (например, приоритетное право на получение земли, подключение к городским инженерным коммуникациям и т.п.), при этом выставляя необходимые требования к их качеству.</w:t>
      </w:r>
    </w:p>
    <w:p>
      <w:pPr>
        <w:spacing w:after="120"/>
        <w:jc w:val="both"/>
      </w:pPr>
      <w:r>
        <w:rPr>
          <w:rFonts w:ascii="Arial" w:cs="Arial" w:eastAsia="Arial" w:hAnsi="Arial"/>
          <w:sz w:val="24"/>
          <w:szCs w:val="24"/>
        </w:rPr>
        <w:t xml:space="preserve">В сфере здравоохранения будет ставиться акцент на улучшение оказываемых медицинских услуг. Средства пойдут на модернизацию больниц и их оборудования. Качественное улучшение необходимо провести и среди медицинского персонала. Политика в этой сфере будет построена по схеме «сначала создадим хорошие условия работы, а затем привлечем лучших специалистов».</w:t>
      </w:r>
    </w:p>
    <w:p>
      <w:pPr>
        <w:spacing w:after="120"/>
        <w:jc w:val="both"/>
      </w:pPr>
      <w:r>
        <w:rPr>
          <w:rFonts w:ascii="Arial" w:cs="Arial" w:eastAsia="Arial" w:hAnsi="Arial"/>
          <w:sz w:val="24"/>
          <w:szCs w:val="24"/>
        </w:rPr>
        <w:t xml:space="preserve">Будут направлены все усилия на создание необходимых условий для того, чтобы горожане смогли тратить свое время на культуру и спорт. В городе будут созданы новые и модернизированы уже имеющиеся объекты культуры. Городские парки и места отдыха будут улучшаться за счет местного бюджета, кроме этого, будут приветствоватся и оказыватся поддержка инвесторам, решившим вложить средства в строительство кинотеатров, зон отдыха и детских развлекательных центров. Также нуждается в реконструкции наш главный спортивный объект – городской стадион. Кроме этого планируется оснастить каждый микрорайон города уличными тренажерами. Для популяризации велотранспорта будут созданы условия для удобного и беспрепятственного движения велосипедов на городских улицах.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Ожидаемые результаты</w:t>
      </w:r>
    </w:p>
    <w:p>
      <w:pPr>
        <w:spacing w:after="120"/>
        <w:jc w:val="both"/>
      </w:pPr>
      <w:r>
        <w:rPr>
          <w:rFonts w:ascii="Arial" w:cs="Arial" w:eastAsia="Arial" w:hAnsi="Arial"/>
          <w:sz w:val="24"/>
          <w:szCs w:val="24"/>
        </w:rPr>
        <w:t xml:space="preserve">В результате реализации Программы будут созданы базовые условия для устойчивого развития города Ош, улучшится инфраструктура и социально-экономическое положение города Ош. В рамках программы будут разработаны комплексные планы-мероприятия, проекты и будут сформированы постоянно проводимые общественные слущания по решению проблем города Ош. К 2020 году повысится уровень жизни горожан, инвестиционная привлекательность, будут созданы новые рабочие места, возрастет деловая активность молодежи и женщин.</w:t>
      </w:r>
    </w:p>
    <w:p>
      <w:pPr>
        <w:spacing w:after="120"/>
        <w:jc w:val="both"/>
      </w:pPr>
      <w:r>
        <w:rPr>
          <w:rFonts w:ascii="Arial" w:cs="Arial" w:eastAsia="Arial" w:hAnsi="Arial"/>
          <w:sz w:val="24"/>
          <w:szCs w:val="24"/>
        </w:rPr>
        <w:t xml:space="preserve">Услуги муниципальных служб станут качественными и доступными для всех категорий граждан.</w:t>
      </w:r>
    </w:p>
    <w:p>
      <w:pPr>
        <w:spacing w:after="120"/>
        <w:jc w:val="both"/>
      </w:pPr>
      <w:r>
        <w:rPr>
          <w:rFonts w:ascii="Arial" w:cs="Arial" w:eastAsia="Arial" w:hAnsi="Arial"/>
          <w:sz w:val="24"/>
          <w:szCs w:val="24"/>
        </w:rPr>
        <w:t xml:space="preserve">Система управления будет эффективной, открытой и системной, в связи с чем повысится доверия населения к местным органам власти и государству.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Риски и вызовы</w:t>
      </w:r>
    </w:p>
    <w:p>
      <w:pPr>
        <w:spacing w:after="120"/>
        <w:jc w:val="both"/>
      </w:pPr>
      <w:r>
        <w:rPr>
          <w:rFonts w:ascii="Arial" w:cs="Arial" w:eastAsia="Arial" w:hAnsi="Arial"/>
          <w:sz w:val="24"/>
          <w:szCs w:val="24"/>
        </w:rPr>
        <w:t xml:space="preserve">В процессе реализации программы город Ош, как и вся Кыргызская Республика, будет сталкиваться с глобальными и региональными вызовами и угрозами. Например, климатические изменения, мировой экономический кризис и другие. Для минимизации их воздействия будут приниматься меры в рамках полномочий мэрии города Ош. Также, меры, предусмотренные данной программой, будут создавать условия для укрепления экономики, решения проблем в социальной сфере и улучшения окружающей среды.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6.Процесс реализации</w:t>
      </w:r>
    </w:p>
    <w:p>
      <w:pPr>
        <w:spacing w:after="240" w:before="200"/>
        <w:jc w:val="center"/>
      </w:pPr>
      <w:r>
        <w:rPr>
          <w:rFonts w:ascii="Arial" w:cs="Arial" w:eastAsia="Arial" w:hAnsi="Arial"/>
          <w:b/>
          <w:bCs/>
          <w:sz w:val="32"/>
          <w:szCs w:val="32"/>
        </w:rPr>
        <w:t xml:space="preserve">6.1. Плановая часть программы: План мероприятий по реализации программы развития города Ош на 2019-2020 годы</w:t>
      </w:r>
    </w:p>
    <w:p>
      <w:pPr>
        <w:spacing w:after="120"/>
        <w:jc w:val="both"/>
      </w:pPr>
      <w:r>
        <w:rPr>
          <w:rFonts w:ascii="Arial" w:cs="Arial" w:eastAsia="Arial" w:hAnsi="Arial"/>
          <w:sz w:val="24"/>
          <w:szCs w:val="24"/>
        </w:rPr>
        <w:t xml:space="preserve">Принятие Программы означает переход к новой, более эффективной процедуре планирования и управления городом. Программа имеет статус городского нормативного акта, и будет применяться как основа для текущего планирования. Программа имеет системный характер, объединяя в рамках единой стратегии отдельные блоки по реформированию экономических, социальных отраслей и отраслей городского хозяйства.</w:t>
      </w:r>
    </w:p>
    <w:p>
      <w:pPr>
        <w:spacing w:after="120"/>
        <w:jc w:val="both"/>
      </w:pPr>
      <w:r>
        <w:rPr>
          <w:rFonts w:ascii="Arial" w:cs="Arial" w:eastAsia="Arial" w:hAnsi="Arial"/>
          <w:sz w:val="24"/>
          <w:szCs w:val="24"/>
        </w:rPr>
        <w:t xml:space="preserve">Основная идея состоит в том, чтобы все планирование в городе, прежде всего бюджетное, производилось в соответствии со средне- и долгосрочными целями, динамичной экономике и достижения устойчивого развития.</w:t>
      </w:r>
    </w:p>
    <w:p>
      <w:pPr>
        <w:spacing w:after="120"/>
        <w:jc w:val="both"/>
      </w:pPr>
      <w:r>
        <w:rPr>
          <w:rFonts w:ascii="Arial" w:cs="Arial" w:eastAsia="Arial" w:hAnsi="Arial"/>
          <w:sz w:val="24"/>
          <w:szCs w:val="24"/>
        </w:rPr>
        <w:t xml:space="preserve">На основании сформированного в Программе перечня основных направлений формируются целевые комплексные программы и они будут рассчитаны на конкретный период. Каждая целевая программа структурно включает в себя цель, задачи и мероприятия, а также график ее выполнения, примерные оценки объема и источников необходимых ресурсов.</w:t>
      </w:r>
    </w:p>
    <w:p>
      <w:pPr>
        <w:spacing w:after="120"/>
        <w:jc w:val="both"/>
      </w:pPr>
      <w:r>
        <w:rPr>
          <w:rFonts w:ascii="Arial" w:cs="Arial" w:eastAsia="Arial" w:hAnsi="Arial"/>
          <w:sz w:val="24"/>
          <w:szCs w:val="24"/>
        </w:rPr>
        <w:t xml:space="preserve">Порядок разработки целевых комплексных программ, организации текущего планирования и создания системы мониторинга и оценки выполнения Программы будут приняты решением мэрии.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План мероприятий по реализации Программы развития города Ош на 2019-2020-годы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
        <w:gridCol w:w="187"/>
        <w:gridCol w:w="2103"/>
        <w:gridCol w:w="822"/>
        <w:gridCol w:w="2001"/>
        <w:gridCol w:w="2622"/>
        <w:gridCol w:w="892"/>
        <w:gridCol w:w="1365"/>
      </w:tblGrid>
      <w:tr>
        <w:tc>
          <w:tcPr>
            <w:tcW w:type="dxa" w:w="37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21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w:t>
            </w:r>
          </w:p>
        </w:tc>
        <w:tc>
          <w:tcPr>
            <w:tcW w:type="dxa" w:w="8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2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8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тыс. сомов</w:t>
            </w:r>
          </w:p>
          <w:p>
            <w:pPr>
              <w:jc w:val="left"/>
            </w:pPr>
            <w:r>
              <w:rPr>
                <w:rFonts w:ascii="Arial" w:cs="Arial" w:eastAsia="Arial" w:hAnsi="Arial"/>
                <w:sz w:val="24"/>
                <w:szCs w:val="24"/>
              </w:rPr>
              <w:t xml:space="preserve"/>
            </w:r>
          </w:p>
        </w:tc>
        <w:tc>
          <w:tcPr>
            <w:tcW w:type="dxa" w:w="1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Экономическая политика</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среднего и малого бизнеса, привлечение инвестиций и увеличение доходов местного бюджета </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создании и стабильной работе новых предприятий / принятие мер по поддержке малого и среднего бизнеса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разработаны бизнес-проекты по привлечению кредитов для субъектов малого и среднего бизнеса из фондов, кредитных учреждений, будет введены новые предприятия, создается новые рабочие места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Содействие вводу в эксплуатацию II цеха по выпуску мешков ОсОО «Полипласт»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введено в эксплуатацию цех, увеличится поступление налогов в местный бюджет, будут созданы дополнительные рабочие места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ОсОО “Полипласт”</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19 400,0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Содействие в создании текстильной фабрики “Кыргыз Текстиль” (I этап)</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 будет введено в эксплуатацию, увеличится поступление налогов в местный бюджет, будут создаваться новые рабочие места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муниципальной собственности,</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ОсОО “Кыргыз Текстиль ЛТД”</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1 038 000,0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Содействие в создании автосборочного завода со стороны ОсОО “Унаа курулуш”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 будет введено в эксплуатацию, увеличатся поступления налогов в местный бюджет, будут созданы новые рабочие места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ОсОО “Унаа курулуш”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34 600,0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плана мероприятий по улучшению позиций города в международных рейтингах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утверждаться план мероприятий по улучшению позиций города в международных рейтингах</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 обновление каталога и карты инвестиционных проектов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карта инвестиционных проектов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карты проектов по линии государственно-частного партнерства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карта проектов, реализуемых по линии государственно-частного партнерства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мер по увеличению поступления доходов в 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ежегодный рост объем местного бюджета, составит не менее 10 процентов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соответствующие государственные и муниципальные учреждения и предприятия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1 092 000,0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1 092 000,0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сферы туризма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масштабной информационной кампании в интернете по продвижению туризма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развита сфера туризма посредством освещения в интернете</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 Служба по связям с общественностью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по содействие туристическим операторам, агентствам и субъектам, оказывающих услуги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единая база по туризму</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участии туристических операторов, агентств и субъектов, оказывающих услуги в крупных международных туристических ярмарках, фестивалях, проведение в городе международных туристических фестивалей и других мероприятий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предпосылка для повышения туристического потенциала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Ошское городское управление культуры</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вопросов по реконструкции центрального рынка и создание на ее месте улицы народного творчества и ремесленников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предпосылка для повышения туристического потенциала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Ошское городское управление культуры</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инфраструктуры коммунального хозяйства</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обеспечения жителей чистой питьевой водой</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II фазы проекта “Реабилитация системы водоснабжения и канализации города Ош”, финансируемой по линии Европейского Банка Реконструкции и Развития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обеспечения жителей чистой питьевой водой. Будет проведена реконструкция станции по очистке сточных вод, насосных станций №9, №4 и №2, установлено новое оборудование.</w:t>
            </w:r>
          </w:p>
          <w:p>
            <w:pPr>
              <w:jc w:val="left"/>
            </w:pPr>
            <w:r>
              <w:rPr>
                <w:rFonts w:ascii="Arial" w:cs="Arial" w:eastAsia="Arial" w:hAnsi="Arial"/>
                <w:sz w:val="24"/>
                <w:szCs w:val="24"/>
              </w:rPr>
              <w:t xml:space="preserve">Будут установлены водомерные счетчики в микрорайонах «Амир Темур», «Достук» и «Ак-Тилек»</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«Ошгорводоканал»</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842 831,0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мер, направленных на обеспечение бесперебойным водоснабжением жителей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водообеспечения жителей чистой питьевой водой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«Ошгорводоканал»,</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Обеспечение бесперебойным водоснабжением жителей сел Жапалакского муниципального территориального управления (МТУ)</w:t>
            </w:r>
          </w:p>
          <w:p>
            <w:pPr>
              <w:jc w:val="left"/>
            </w:pPr>
            <w:r>
              <w:rPr>
                <w:rFonts w:ascii="Arial" w:cs="Arial" w:eastAsia="Arial" w:hAnsi="Arial"/>
                <w:sz w:val="24"/>
                <w:szCs w:val="24"/>
              </w:rPr>
              <w:t xml:space="preserve">(строительство резервуара объемом 6000 м3, двух резервуаров объемом 1000 м3 и проведение линий водоснабжения в селах)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сел будут обеспечены бесперебойным водоснабжением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160 000,0 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Завершение прокладки линии водоснабжения в селе “Толойкон” Жапалакского МТУ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сел будут обеспечены бесперебойным водоснабжением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(2018 - 6,5 млн.сомов</w:t>
            </w:r>
          </w:p>
          <w:p>
            <w:pPr>
              <w:jc w:val="left"/>
            </w:pPr>
            <w:r>
              <w:rPr>
                <w:rFonts w:ascii="Arial" w:cs="Arial" w:eastAsia="Arial" w:hAnsi="Arial"/>
                <w:sz w:val="24"/>
                <w:szCs w:val="24"/>
              </w:rPr>
              <w:t xml:space="preserve">2019 - 2,3 млн.сомов)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Проведение линии водоснабжения по улице Гастелло ТС №4 “Ак-Тилек”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будут обеспечены бесперебойным водоснабжением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Замена водопроводных линий, протяженностью 4,5 км в кварталах 222, 223 ТС №11 “Жибек-Жолу”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водоснабжения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реализации проекта строительства дамбы на участке “Данги” и разработка альтернативных проектов по обеспечению населения чистой питьевой водой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водоснабжения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Азиатский Банк Развития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информационных компаний среди населения и школьников по экономному использованию питьевой воды</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Уменьшится обьем нерационального использования питьевой воды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«Ошгорводоканал»,</w:t>
            </w:r>
          </w:p>
          <w:p>
            <w:pPr>
              <w:jc w:val="left"/>
            </w:pPr>
            <w:r>
              <w:rPr>
                <w:rFonts w:ascii="Arial" w:cs="Arial" w:eastAsia="Arial" w:hAnsi="Arial"/>
                <w:sz w:val="24"/>
                <w:szCs w:val="24"/>
              </w:rPr>
              <w:t xml:space="preserve">Служба по связям с общественностью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1 250 331,0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1 070 331,0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жилищно-коммунальных условий многоэтажных жилых домов, обновление фасадов домов, благоустройство и озеленение придомовых территорий, строительство детских площадок</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Покраска и побелка фасадов жилых многоэтажных домов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эстетика городской среды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жилищно-коммунальное управление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домофонов в подъездах многоэтажных жилых домов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обеспечена безопасность, чистота в подъездах</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жилищно-коммунальное управление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реконструкция инженерных коммуникаций, а также подключение к отопительной системе многоэтажных жилых домов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предоставления коммунальных услуг, многоэтажные жилые дома подключены к отопительной системе</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жилищно-коммунальное управление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сброса сточных вод</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системы сброса сточных вод и строительство новых линий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благоприятные условия для горожан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Муниципальное предприятие «Ошгорводоканал»</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Строительство и ремонт канализационных сетей</w:t>
            </w:r>
          </w:p>
          <w:p>
            <w:pPr>
              <w:jc w:val="left"/>
            </w:pPr>
            <w:r>
              <w:rPr>
                <w:rFonts w:ascii="Arial" w:cs="Arial" w:eastAsia="Arial" w:hAnsi="Arial"/>
                <w:sz w:val="24"/>
                <w:szCs w:val="24"/>
              </w:rPr>
              <w:t xml:space="preserve">(согласно утверждаемого титульного списка управления капитального строительства)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благоприятные условия для горожан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Муниципальное предприятие «Ошгорводоканал»</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Строительство и ремонт канализационных сетей</w:t>
            </w:r>
          </w:p>
          <w:p>
            <w:pPr>
              <w:jc w:val="left"/>
            </w:pPr>
            <w:r>
              <w:rPr>
                <w:rFonts w:ascii="Arial" w:cs="Arial" w:eastAsia="Arial" w:hAnsi="Arial"/>
                <w:sz w:val="24"/>
                <w:szCs w:val="24"/>
              </w:rPr>
              <w:t xml:space="preserve">(в порядке софинансирования проектов)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благоприятные условия для горожан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Муниципальное предприятие «Ошгорводоканал»</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Благоустройство и озеленение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мест для отдыха граждан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Реконструкция и озеленение парка имени Т.Сатылганова (строительство малого архитектурного фасада, 2–х фонтанов и общественного туалета)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средства доноров</w:t>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Озеленение и благоустройство сквера “Пионерская”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Озеленение и благоустройство сквера “Ленин»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Озеленение и благоустройство сквера “Достук”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Озеленение и благоустройство 2-й части парка “Жениш”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Строительство бульвара на улице Б.Осмонова микрорайона “Кулатов”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Ошское региональное управление по градостроительству и архитектуре,</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 Установка инсталляций на всех местах отдыха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облик города и эстетика городской среды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городских фонтанов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Создается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Строительство фонтана возле ОКДТ имени С.Ибраимова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Строительство фонтана возле драматического театра имени Бабура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Реабилитация фонтана возле здания мэрии города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Реконструкция фонтана в зоне отдыха “Каныкей”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 Реконструкция фонтана на пересечении улиц Нурматова-Масалиева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 Реконструкция фонтана в зоне отдыха “Алымбек-Датка”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 Строительство фонтана в зоне отдыха “Жибек–Жолу”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внедрение систем капельного орошения газонов и цветников на центральных улицах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озеленения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ирригационных систем города (установка лотков на улице Курманжан-Датка от улицы Навои до улицы Г.Айтиева)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система полива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133 300,0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73 800,0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санитарного состояния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“Улучшение системы управления твердыми бытовыми отходами”, финансируемого по линии Европейского Банка Реконструкции и Развития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На основании проекта решение вопроса выделения земельного участка для строительства нового полигона для твердых бытовых отходов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твердых бытовых отходов будет соответствовать нормам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460 520,0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Приобретение оборудования для полигона:</w:t>
            </w:r>
          </w:p>
          <w:p>
            <w:pPr>
              <w:jc w:val="left"/>
            </w:pPr>
            <w:r>
              <w:rPr>
                <w:rFonts w:ascii="Arial" w:cs="Arial" w:eastAsia="Arial" w:hAnsi="Arial"/>
                <w:sz w:val="24"/>
                <w:szCs w:val="24"/>
              </w:rPr>
              <w:t xml:space="preserve">1 единица бульдозера;</w:t>
            </w:r>
          </w:p>
          <w:p>
            <w:pPr>
              <w:jc w:val="left"/>
            </w:pPr>
            <w:r>
              <w:rPr>
                <w:rFonts w:ascii="Arial" w:cs="Arial" w:eastAsia="Arial" w:hAnsi="Arial"/>
                <w:sz w:val="24"/>
                <w:szCs w:val="24"/>
              </w:rPr>
              <w:t xml:space="preserve">1 единица экскаватора;</w:t>
            </w:r>
          </w:p>
          <w:p>
            <w:pPr>
              <w:jc w:val="left"/>
            </w:pPr>
            <w:r>
              <w:rPr>
                <w:rFonts w:ascii="Arial" w:cs="Arial" w:eastAsia="Arial" w:hAnsi="Arial"/>
                <w:sz w:val="24"/>
                <w:szCs w:val="24"/>
              </w:rPr>
              <w:t xml:space="preserve">1 единица самосвала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63520,0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Приобретение контейнеров:</w:t>
            </w:r>
          </w:p>
          <w:p>
            <w:pPr>
              <w:jc w:val="left"/>
            </w:pPr>
            <w:r>
              <w:rPr>
                <w:rFonts w:ascii="Arial" w:cs="Arial" w:eastAsia="Arial" w:hAnsi="Arial"/>
                <w:sz w:val="24"/>
                <w:szCs w:val="24"/>
              </w:rPr>
              <w:t xml:space="preserve">1136 единиц контейнеров объемом 1,1 м3;</w:t>
            </w:r>
          </w:p>
          <w:p>
            <w:pPr>
              <w:jc w:val="left"/>
            </w:pPr>
            <w:r>
              <w:rPr>
                <w:rFonts w:ascii="Arial" w:cs="Arial" w:eastAsia="Arial" w:hAnsi="Arial"/>
                <w:sz w:val="24"/>
                <w:szCs w:val="24"/>
              </w:rPr>
              <w:t xml:space="preserve">32 единицы кузов контейнеров объемом 8 м3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63520,0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Приобретение для вывоза мусора:</w:t>
            </w:r>
          </w:p>
          <w:p>
            <w:pPr>
              <w:jc w:val="left"/>
            </w:pPr>
            <w:r>
              <w:rPr>
                <w:rFonts w:ascii="Arial" w:cs="Arial" w:eastAsia="Arial" w:hAnsi="Arial"/>
                <w:sz w:val="24"/>
                <w:szCs w:val="24"/>
              </w:rPr>
              <w:t xml:space="preserve">10 единиц объемом 10 м3;</w:t>
            </w:r>
          </w:p>
          <w:p>
            <w:pPr>
              <w:jc w:val="left"/>
            </w:pPr>
            <w:r>
              <w:rPr>
                <w:rFonts w:ascii="Arial" w:cs="Arial" w:eastAsia="Arial" w:hAnsi="Arial"/>
                <w:sz w:val="24"/>
                <w:szCs w:val="24"/>
              </w:rPr>
              <w:t xml:space="preserve">8 единиц объемом 16 м3;</w:t>
            </w:r>
          </w:p>
          <w:p>
            <w:pPr>
              <w:jc w:val="left"/>
            </w:pPr>
            <w:r>
              <w:rPr>
                <w:rFonts w:ascii="Arial" w:cs="Arial" w:eastAsia="Arial" w:hAnsi="Arial"/>
                <w:sz w:val="24"/>
                <w:szCs w:val="24"/>
              </w:rPr>
              <w:t xml:space="preserve">10 единиц объемом 18 м3;</w:t>
            </w:r>
          </w:p>
          <w:p>
            <w:pPr>
              <w:jc w:val="left"/>
            </w:pPr>
            <w:r>
              <w:rPr>
                <w:rFonts w:ascii="Arial" w:cs="Arial" w:eastAsia="Arial" w:hAnsi="Arial"/>
                <w:sz w:val="24"/>
                <w:szCs w:val="24"/>
              </w:rPr>
              <w:t xml:space="preserve">2 единиц бункерной техники объемом 8 м3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155624,0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 Реконструкция офиса и приобретение офисного оборудования (3 здания)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работников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 Ремонт точек размещения мусорных контейнеров:</w:t>
            </w:r>
          </w:p>
          <w:p>
            <w:pPr>
              <w:jc w:val="left"/>
            </w:pPr>
            <w:r>
              <w:rPr>
                <w:rFonts w:ascii="Arial" w:cs="Arial" w:eastAsia="Arial" w:hAnsi="Arial"/>
                <w:sz w:val="24"/>
                <w:szCs w:val="24"/>
              </w:rPr>
              <w:t xml:space="preserve">1136 единиц контейнеров объемом 1,1 м3;</w:t>
            </w:r>
          </w:p>
          <w:p>
            <w:pPr>
              <w:jc w:val="left"/>
            </w:pPr>
            <w:r>
              <w:rPr>
                <w:rFonts w:ascii="Arial" w:cs="Arial" w:eastAsia="Arial" w:hAnsi="Arial"/>
                <w:sz w:val="24"/>
                <w:szCs w:val="24"/>
              </w:rPr>
              <w:t xml:space="preserve">32 единицы кузов контейнеров объемом 8 м3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26996,0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обеспечения жителей города тепловой энергией</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обеспечения горожан тепловой энергией и подключение новых многоэтажных жилых домов к системе отопления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обеспечения горожан тепловой энергией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«Теплоснабжение»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Обеспечения горожан тепловой энергией в рамках софинансирования проектов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обеспечения горожан тепловой энергией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«Теплоснабжение»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Проведение ремонтных работ котельных и систем теплоснабжения за счет собственных средств предприятий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обеспечения горожан тепловой энергией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«Теплоснабжение»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предприятий</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газоснабжения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замене устаревших подземных трубопроводов природного газа на улицах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Снизится риск утечки природного газа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Филиал “Ошгаз” ОсОО «Газпром Кыргызстан» (по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«Газпром Кыргызстан»</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Замена 15,5 км трубопроводов природного газа на улицах И.Разакова, Б.Осмонова Г.Айтиева, А.Шакирова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Снизится риск утечки природного газа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Филиал “Ошгаз” ОсОО «Газпром Кыргызстан» (по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195000,0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«Газпром Кыргызстан»</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Замена 17 км трубопроводов природного газа на улицах А.Масалиева, Р.Абдыкадырова, Э.Алиева, Б.Осмонова, Касымбекова, Курманжан-Датки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Снизится риск утечки природного газа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Филиал “Ошгаз” ОсОО «Газпром Кыргызстан» (по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230000,0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«Газпром Кыргызстан»</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Газификация сел “Жапалакского” муниципального территориального управления и проведение 30 км линий природного газа низкого и среднего давления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 абонентов будут обеспечены природным газом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Филиал “Ошгаз” ОсОО «Газпром Кыргызстан» (по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«Газпром Кыргызстан»</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системы общественного транспорта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билетирования в общественном транспорте в рамках проекта Европейского Банка Реконструкции и Развития по улучшению системы общественного транспорта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система учета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Ошское городское муниципальное автотранспортное предприятие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54 317,5</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54 317,5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54 317,5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Уличное освещение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внутренних дорог энергосберегающими лампами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Сократится потребление электроэнергии, будет проведено освещение 46,5 км улиц.</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“Ошсвет”,</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22651,0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22 651,0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22 651,0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Градостроительство и муниципальная собственность</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детальной планировки города </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проекта детальной планировки города Ош (ПДП)</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утверждена детальная планировка города Ош</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Ошское региональное управление по градостроительству и архитектуре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правил застройки и землепользования (новой редакции)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утверждены правила застройки и землепользования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Ошское региональное управление по градостроительству и архитектуре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доступным жильем </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энергоэффективного 81-квартирного дома по линии ипотечного строительства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муниципальные служащие будут обеспечены доступным жильем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Муниципальное учреждение “Фонд развития жилищного строительства, инвестиций инновационных технологий”</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дорожной инфраструктуры </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строительству объездной дороги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планированию строительства и изысканию финансовых средств для строительства дороги при въезде в город протяженностью 4,5 км (660 км участок дороги Бишкек-Ош)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проведены работа по планированию строительства и изыскание финансовых средств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планированию строительства и изысканию финансовых средств для строительства южной объездной дороги (протяженность 28 км)</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проведена работа по планированию строительства и изыскании финансовых средств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Реконструкция и строительство дорог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строительство дорог и тротуаров города (согласно титульного списка управления городских дорог)</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дорожная инфраструктура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100 000,0 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проектной сметной документации и строительство пешеходных переходов на пересечении улиц А.Масалиев-А.Навои, А.Масалиев-Ы.Монуев, А.Масалиев-Абдыкадыров, Курманжан-Датка-Г.Айтиев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разработана проектная сметная документация и начаты соответствующие работы в данном направлении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привлечению средств на реконструкцию дорог города(55 улиц)</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проведена работа по привлечению грантовых средств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Грантовые средства КНР</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Установка дорожных знаков и обеспечение безопасности дорожного движения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дорожного движения, реализация мер по упорядочению транспортного движения пешеходных переходов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безопасность дорожного движения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Перевод системы управления уличным освещением на систему “АСУДД-автоматизированное управление”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безопасность дорожного движения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Замена устаревших ламп уличного освещения на новые светодиодные, установка новых линий освещения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безопасность дорожного движения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Изучение вопроса и создание мест для парковок автотранспортных средств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безопасность дорожного движения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государственного частного партнерства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реализации компонента “Безопасный город” в рамках проекта “Умный город”</w:t>
            </w:r>
          </w:p>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оказано содействие в реализации проекта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Сектор обороны, правопорядка и чрезвычайных ситуаций,</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муниципальной собственностью</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Создание/обновление реестра муниципальной собственности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база данных по муниципальным объектам, обеспечится открытость информации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муниципальной собственности</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шлагбаума при въезде в авторынок “Жапалак”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качественный учет въезда количества автотранспортных средств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муниципальной собственности,</w:t>
            </w:r>
          </w:p>
          <w:p>
            <w:pPr>
              <w:jc w:val="left"/>
            </w:pPr>
            <w:r>
              <w:rPr>
                <w:rFonts w:ascii="Arial" w:cs="Arial" w:eastAsia="Arial" w:hAnsi="Arial"/>
                <w:sz w:val="24"/>
                <w:szCs w:val="24"/>
              </w:rPr>
              <w:t xml:space="preserve">Муниципальное учреждение «Авторынок Жапалак»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сфера</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сферы образования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переходящих социальных объектов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школами и повышается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 Завершение строительства нового учебного корпуса средней школы №3 имени Ломоносова на 500 ученических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школами и повышен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15 300,0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 Завершение строительства новой школы в жилмассиве “Амир-Темур” на 625 ученических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 и повышается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 Завершение строительства новой школы в жилмассиве “Жибек-Жолу” на 275 ученических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школами и повышен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28 800,0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 Завершение строительства новой школы в жилмассиве “Курманжан-Датка-2” на 275 ученических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школами и повышен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создании частных детских садов и принятие мер по возврату детских садов, переданных в частную собственность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детскими садами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Ошское городское управление образования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здания школы в детский сад в селе “Тээке”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детскими садами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ремонтных работ в общеобразовательных учреждениях и других социальных объектах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инфраструктура социальных объектов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Ошское городское управление образования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общежития в лагере “Жаштык” на 250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отдыха детей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системы видеонаблюдения в 54 средних школах и 38 детских садах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установлена система видеонаблюдения, обеспечена безопасность детей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образования</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во всех муниципальных детских садах системы электронной очереди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 детские сады будут осуществляться на основании электронной очереди, предотвратятся коррупционные проявления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образования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программы многоязыкового обучения в 7 средних школах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будет проводится по многоязыковой программе</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образования</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116 900,0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32 100,0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спорта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городского стадиона имени А.Суюмбаева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инфраструктура и условия для отдыха и развития спорта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спортивных тренажеров в парках и скверах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отдыха и развития спорта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детских и спортивных площадок в микрорайонах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отдыха и развития спорта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Культура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организации и проведении саммита “Тюрксой” в городе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Увеличится приток туристов, повышается культурный уровень граждан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культуры</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строительстве частных культурных и рекреационных объектов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граждан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культуры</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системы социальной защиты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общественных полезных проектов в рамках государственного социального заказа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реализованы общественно полезные проекты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труда и социального развития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 Создание / поддержка центров для социально незащищенных категорий граждан (семей и детей, находящихся в трудной жизненной ситуации, лиц с ограниченными возможностями здоровья (ЛОВЗ), пожилых граждан), в рамках государственного социального заказа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реализованы общественно полезные проекты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труда и социального развития,</w:t>
            </w:r>
          </w:p>
          <w:p>
            <w:pPr>
              <w:jc w:val="left"/>
            </w:pPr>
            <w:r>
              <w:rPr>
                <w:rFonts w:ascii="Arial" w:cs="Arial" w:eastAsia="Arial" w:hAnsi="Arial"/>
                <w:sz w:val="24"/>
                <w:szCs w:val="24"/>
              </w:rPr>
              <w:t xml:space="preserve">Неправительственные организации</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материальной помощи социально нуждающимся гражданам</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удовлетворены социальные потребности граждан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труда и социального развития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культурно-массовых мероприятий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удовлетворены социальные потребности граждан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труда и социального развития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во внедрении программного обеспечения «Электронная медицина» для организаций здравоохранения города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Ошская городская клиническая больница</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p>
            <w:pPr>
              <w:jc w:val="left"/>
            </w:pPr>
            <w:r>
              <w:rPr>
                <w:rFonts w:ascii="Arial" w:cs="Arial" w:eastAsia="Arial" w:hAnsi="Arial"/>
                <w:sz w:val="24"/>
                <w:szCs w:val="24"/>
              </w:rPr>
              <w:t xml:space="preserve">(ФОМС)</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инфраструктуры филиалов ЦСМ города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Центр семейной медицины</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нового здания многопрофильной больницы на 150 коек в микр. Ак-Тилек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1 810 000,0 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8 527,7</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Грантовые средства КНР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проведении капитального ремонта в детской больнице по профилактике инфекционных заболеваний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проведение капитального ремонта в фельдшерско-акушерских пунктах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 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 Строительство фельдшерского-акушерского пункта в селе Арек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 Проведение капитального ремонта фельдшерского-акушерского пункта в селе Озгур</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 Строительство фельдшерского-акушерского пункта в селе Алмалык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1 862 427,7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19 627,7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32 800,0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информационных технологий</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IT-школы в городе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подготовлены IТ-специалисты, в городе улучшится сфера инноваций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Муниципальное учреждение “Фонд развития жилищного строительства, инвестиций инновационных технологий”</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3600,0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по предупреждению и борьбе с коррупцией</w:t>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 с соответствующими государственными органами работы по предупреждению и борьбе с негативными коррупционными проявлениями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Снизится коррупционные риски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Сектор обороны, правопорядка и чрезвычайных ситуаций;</w:t>
            </w:r>
          </w:p>
          <w:p>
            <w:pPr>
              <w:jc w:val="left"/>
            </w:pPr>
            <w:r>
              <w:rPr>
                <w:rFonts w:ascii="Arial" w:cs="Arial" w:eastAsia="Arial" w:hAnsi="Arial"/>
                <w:sz w:val="24"/>
                <w:szCs w:val="24"/>
              </w:rPr>
              <w:t xml:space="preserve">Полномочный сотрудник по делам коррупции,</w:t>
            </w:r>
          </w:p>
          <w:p>
            <w:pPr>
              <w:jc w:val="left"/>
            </w:pPr>
            <w:r>
              <w:rPr>
                <w:rFonts w:ascii="Arial" w:cs="Arial" w:eastAsia="Arial" w:hAnsi="Arial"/>
                <w:sz w:val="24"/>
                <w:szCs w:val="24"/>
              </w:rPr>
              <w:t xml:space="preserve">Соответствующие государственные органы</w:t>
            </w:r>
          </w:p>
          <w:p>
            <w:pPr>
              <w:jc w:val="left"/>
            </w:pPr>
            <w:r>
              <w:rPr>
                <w:rFonts w:ascii="Arial" w:cs="Arial" w:eastAsia="Arial" w:hAnsi="Arial"/>
                <w:sz w:val="24"/>
                <w:szCs w:val="24"/>
              </w:rPr>
              <w:t xml:space="preserve">(по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9"/>
        <w:gridCol w:w="4935"/>
        <w:gridCol w:w="4544"/>
      </w:tblGrid>
      <w:tr>
        <w:tc>
          <w:tcPr>
            <w:tcW w:type="dxa" w:w="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9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(сомов)</w:t>
            </w:r>
          </w:p>
          <w:p>
            <w:pPr>
              <w:jc w:val="left"/>
            </w:pPr>
            <w:r>
              <w:rPr>
                <w:rFonts w:ascii="Arial" w:cs="Arial" w:eastAsia="Arial" w:hAnsi="Arial"/>
                <w:sz w:val="24"/>
                <w:szCs w:val="24"/>
              </w:rPr>
              <w:t xml:space="preserve"/>
            </w:r>
          </w:p>
        </w:tc>
        <w:tc>
          <w:tcPr>
            <w:tcW w:type="dxa" w:w="4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6 328 027,2 тыс.сомов</w:t>
            </w:r>
          </w:p>
        </w:tc>
      </w:tr>
      <w:tr>
        <w:tc>
          <w:tcPr>
            <w:tcW w:type="dxa" w:w="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448 178,7 тыс.сомов (7,1%)</w:t>
            </w:r>
          </w:p>
        </w:tc>
      </w:tr>
      <w:tr>
        <w:tc>
          <w:tcPr>
            <w:tcW w:type="dxa" w:w="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309 700,0 тыс.сомов (4,9%)</w:t>
            </w:r>
          </w:p>
        </w:tc>
      </w:tr>
      <w:tr>
        <w:tc>
          <w:tcPr>
            <w:tcW w:type="dxa" w:w="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5 570 148,5 тыс.сомов (88,0%)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курс валют рассчитан исходя из курса валют по состоянию на 24 октября 2018 года 1 доллар США - 69,2 сомов, 1 Евро - 79,4 сомов, 1 Юань - 10,0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Ошского городского Кенеша                                                                                                                           С.Маматалиева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vbsdfbqgjw6h0ewojfb">
      <w:r>
        <w:rPr>
          <w:rFonts w:ascii="Arial" w:cs="Arial" w:eastAsia="Arial" w:hAnsi="Arial"/>
          <w:color w:val="132D3F"/>
          <w:sz w:val="16"/>
          <w:szCs w:val="16"/>
          <w:u w:val="single"/>
        </w:rPr>
        <w:t xml:space="preserve">dalil.kg/document/42470</w:t>
      </w:r>
    </w:hyperlink>
  </w:p>
  <w:p>
    <w:pPr>
      <w:spacing w:after="0" w:before="40"/>
      <w:jc w:val="center"/>
    </w:pPr>
    <w:hyperlink w:history="1" r:id="rIdx8ihhxsxyebtj3t_ezz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bazgzu_kekhk-zmdrqv" Type="http://schemas.openxmlformats.org/officeDocument/2006/relationships/hyperlink" Target="https://dalil.kg/document/203102" TargetMode="External"/><Relationship Id="rIdnmd497dazdkpshvatwdqz" Type="http://schemas.openxmlformats.org/officeDocument/2006/relationships/hyperlink" Target="https://dalil.kg/document/42470#p1" TargetMode="External"/><Relationship Id="rIdpfazfryouorw_zpz87fuu" Type="http://schemas.openxmlformats.org/officeDocument/2006/relationships/hyperlink" Target="https://dalil.kg/document/299155" TargetMode="External"/><Relationship Id="rIdt_i9wl6cw0j5o7qjynvu_"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vbsdfbqgjw6h0ewojfb" Type="http://schemas.openxmlformats.org/officeDocument/2006/relationships/hyperlink" Target="https://dalil.kg/document/42470" TargetMode="External"/><Relationship Id="rIdx8ihhxsxyebtj3t_ezz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2026-10-02T03:13:50.213Z</dcterms:created>
  <dcterms:modified xsi:type="dcterms:W3CDTF">2026-10-02T03:13:50.213Z</dcterms:modified>
</cp:coreProperties>
</file>

<file path=docProps/custom.xml><?xml version="1.0" encoding="utf-8"?>
<Properties xmlns="http://schemas.openxmlformats.org/officeDocument/2006/custom-properties" xmlns:vt="http://schemas.openxmlformats.org/officeDocument/2006/docPropsVTypes"/>
</file>