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20-декабря.2018-года №15/1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передвижке кредитов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ст.17 Законодательства Кыргызской Республики от 17 сентября 2004 года за №169 “Об основных принципах бюджетного права” и ст.31 </w:t>
      </w:r>
      <w:hyperlink w:history="1" r:id="rIduojy9otrngjcwq8sgxd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и на основание представленных материалов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передвижку кредитов бюджетного счета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1"/>
        <w:gridCol w:w="5464"/>
        <w:gridCol w:w="3393"/>
      </w:tblGrid>
      <w:tr>
        <w:tc>
          <w:tcPr>
            <w:tcW w:type="dxa" w:w="13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5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содержание изменение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2018 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Гос.обслуживание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-324,7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-324,7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Зар.плата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в соц.фонд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хоз.товары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</w:t>
      </w:r>
      <w:r>
        <w:rPr>
          <w:rFonts w:ascii="Arial" w:cs="Arial" w:eastAsia="Arial" w:hAnsi="Arial"/>
          <w:sz w:val="24"/>
          <w:szCs w:val="24"/>
        </w:rPr>
        <w:t xml:space="preserve">Постановления возложить на председателя комитета по бюджету и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rldktxwbtkuo43lte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dalil.kg/document/426119</w:t>
      </w:r>
    </w:hyperlink>
  </w:p>
  <w:p>
    <w:pPr>
      <w:spacing w:after="0" w:before="40"/>
      <w:jc w:val="center"/>
    </w:pPr>
    <w:hyperlink w:history="1" r:id="rIduwh8aqejl8c_0lc_9_v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jy9otrngjcwq8sgxdq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rldktxwbtkuo43ltehs" Type="http://schemas.openxmlformats.org/officeDocument/2006/relationships/hyperlink" Target="https://dalil.kg/document/426119" TargetMode="External"/><Relationship Id="rIduwh8aqejl8c_0lc_9_v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2026-10-02T03:49:00.615Z</dcterms:created>
  <dcterms:modified xsi:type="dcterms:W3CDTF">2026-10-02T03:49:00.615Z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