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18.04.2019 г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71bmt2dzrnwwz96pbhs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dzku2az55xxdjrfgqh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efgh5sml8gu1fmqo48f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vvm7u-7esqydghycqdg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инвестициях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0ipzuycw9y8ex_rfpk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партнёрстве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развитие территории - качественные и структурные положительные изменения экономики территории, </w:t>
      </w:r>
      <w:r>
        <w:rPr>
          <w:rFonts w:ascii="Arial" w:cs="Arial" w:eastAsia="Arial" w:hAnsi="Arial"/>
          <w:sz w:val="24"/>
          <w:szCs w:val="24"/>
        </w:rPr>
        <w:t xml:space="preserve">производительных сил</w:t>
      </w:r>
      <w:r>
        <w:rPr>
          <w:rFonts w:ascii="Arial" w:cs="Arial" w:eastAsia="Arial" w:hAnsi="Arial"/>
          <w:sz w:val="24"/>
          <w:szCs w:val="24"/>
        </w:rPr>
        <w:t xml:space="preserve">, образования, науки, культуры, </w:t>
      </w:r>
      <w:r>
        <w:rPr>
          <w:rFonts w:ascii="Arial" w:cs="Arial" w:eastAsia="Arial" w:hAnsi="Arial"/>
          <w:sz w:val="24"/>
          <w:szCs w:val="24"/>
        </w:rPr>
        <w:t xml:space="preserve">уровня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качества жизни</w:t>
      </w:r>
      <w:r>
        <w:rPr>
          <w:rFonts w:ascii="Arial" w:cs="Arial" w:eastAsia="Arial" w:hAnsi="Arial"/>
          <w:sz w:val="24"/>
          <w:szCs w:val="24"/>
        </w:rPr>
        <w:t xml:space="preserve"> населения, </w:t>
      </w:r>
      <w:r>
        <w:rPr>
          <w:rFonts w:ascii="Arial" w:cs="Arial" w:eastAsia="Arial" w:hAnsi="Arial"/>
          <w:sz w:val="24"/>
          <w:szCs w:val="24"/>
        </w:rPr>
        <w:t xml:space="preserve">человеческого капитала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инвестиции - это материальные и нематериальные вложения всех видов активов, находящихся в собственности или контролируемых прямо или косвенно инвестором, в объекты экономической деятельности в целях получения прибыли и (или) достижения иного полезного эффекта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-имущественных прав (ипотека, право удержания имущества, залог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акций и иных форм участия в юридическом лице;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облигаций и других долговых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-неимущественных прав (в т.ч. право на интеллектуальную собственность, включая деловую репутацию, авторские права, патенты, товарные знаки, промышленные образцы, технологические процессы, фирменные наименования и ноу-хау);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любого права на осуществление деятельности, основанной на лицензии или в иной форме, предоставленной государственными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концессий, основанных на законодательстве Кыргызской Республики, включая концессии на поиск, разработку, добычу или эксплуатацию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прибыли или доходов, полученных от инвестиций и реинвестированных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иных форм инвестирования,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инвестор - субъект инвестиционной деятельности, осуществляющий вложение собственных, заемных или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 (далее - ГЧП) - долгосрочное (до 50 лет) взаимодействие государственного и частного партнеров по вопросам привлечения государственным партнером частного партнера к проектированию, финансированию, строительству, восстановлению, реконструкции объектов, а также по управлению существующими или вновь создаваемыми объектами, в том числе инфраструктурными;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 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безвозвратно предоставленные республиканским бюджетом местным бюджетам.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качества и уровня жизни населения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конкурентоспособной и инновационной экономики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доступности и качества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состояния здоровья населения и создание условий для ведения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раскрытие культурного, творческого, духовно-нравственного потенциала населения и эффективная молодежная политика;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инфраструктуры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оздоровление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социально-экономического развития территории для их утверждения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государственно-частного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 привлечению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и критерии оценки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показатели качества муниципальных услуг (работ), предоставляемых муниципальными учреждениями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ценовую политику и тарифы муниципальных учреждений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государственно-частного партнерства и заключает соглашения о государственно-частном партнерстве;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поиск, инициирование проектов по привлечению инвестиций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публично представляет отчет об исполнении программы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социально-экономического развития территории, государственно-частного партнерства и привлечения инвестиции и грантов,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1. Создание условий для конкурентоспособной и инновационной экономики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 благоприятного инвестиционного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максимальное информирование населения о мерах муниципальной поддержки;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социально-значимых видов предпринимательской деятельности (оказание социальных, туристических услуг, сельское хозяйство, деятельность в сфере строительства, ЖКХ, пищевое, текстильное и швейное производство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вовлечение молодежи в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промышленности и реализации инновационного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стимулированию малого и среднего предпринимательства, и развитию сферы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по снижение уровня </w:t>
      </w:r>
      <w:r>
        <w:rPr>
          <w:rFonts w:ascii="Arial" w:cs="Arial" w:eastAsia="Arial" w:hAnsi="Arial"/>
          <w:sz w:val="24"/>
          <w:szCs w:val="24"/>
        </w:rPr>
        <w:t xml:space="preserve">нищеты</w:t>
      </w:r>
      <w:r>
        <w:rPr>
          <w:rFonts w:ascii="Arial" w:cs="Arial" w:eastAsia="Arial" w:hAnsi="Arial"/>
          <w:sz w:val="24"/>
          <w:szCs w:val="24"/>
        </w:rPr>
        <w:t xml:space="preserve"> и повышение уровня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2. Повышение доступности и качества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образовательных организаций и обеспечение прав граждан на получение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хозяйственного обслуживания и финансирования подведомственных 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опека и попечительство несовершеннолетних сирот и детей, оставшихся без родительского попечительства, защита их прав, помещение в детские дома, школы-интернаты, в семьи для воспитания или усыновления;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учебниками учащихся сельских школ - детей из малообеспеченных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вопросов профессиональной подготовки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систематического учета детей предшкольного и школьного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подвоза детей в общеобразовательные организации и в места их фактического проживания;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образовательных услуг, обеспечивающую раннее развитие детей, независимо от их проживания, состояния здоровья, социального статуса, с опорой на воспитательный статус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образовательную среду, обеспечивающую доступность качественного образования для детей-инвалидов и детей с ограниченными возможностями здоровья и их социализацию;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выявления, поддержки и сопровождения одаренных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3. Улучшение состояния здоровья населения и создание условий для ведения здорового образа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функционирования системы здравоохранения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оптимизации кадрового потенциала системы здравоохранения, в т.ч. повышение обеспеченности медицинским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медицинских учреждений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условия по стимулированию населения в сохранении своего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систему профилактики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4. - Раскрытие культурного, творческого, духовно-нравственного потенциала населения и эффективная молодежная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качество культурных услуг муниципальных учреждений, предоставление равного доступа к культурным ценностям и обеспечение прав граждан на участие в культурной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сохраняет и развивает историко-культурное наследие и культурный потенциал Айыльного аймака, в том числе с учетом особенностей многонациональной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сохранение и развитие инфраструктуры и материально-технической базы учреждений культуры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механизмы поддержки стимулирования творчества музыкальных, театральных и других творческих коллективов, в том числе традиционной народной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развития художественного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информационные и инновационные технологии в отрасль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стимулирует развития творческих объединений, поддержку социально ориентированных проектов в сфере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воспитанию гражданственности и патриотизма.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5. Развитие инфраструктуры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сети муниципальных автомобильных дорог – строительство новых автомобильных дорог и реконструкция имеющихся;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повышение доступности пассажирских перевозок, в том числе улучшение материально-технической базы парка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укрепление транспортной связи с иными айыльными аймаками и городами;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строительство, реконструкцию и модернизацию объектов жилищно-коммунального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газоснабжению и газификации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ресурсосберегающих технологий и материалов, снижение нерациональных затрат;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привлечению инвестиций в сферу жилищно-коммунального и энергетического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эффективности системы теплоснабжения, электроснабжения,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качества предоставляемых жилищно-коммунальных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развитию жилого фонда, жилищно-коммунального хозяйства и благоустройству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6. Обеспечение безопасности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совершенствует систему предупреждения и защиты населения от чрезвычайных ситуаций природного и техногенного характера, включая своевременное информирование населения об угрозе возникновения чрезвычайных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безопасной жизнедеятельности населения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случаев гибели людей вследствие чрезвычайных ситуаций и минимизация материального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безопасности дорожного движения;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граждан к соблюдению и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новые форма профилактики правонарушений и наркомании.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Задаче 7. Оздоровление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новых механизмов по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уровня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вовлечению общественности и бизнеса в природоохранные мероприятия, повышение экологической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сохранению и восстановлению нарушенных природных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снижению уровня техногенного воздействия на окружающую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внедрению экологических инновационных технологий по охране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и предприятий в рамках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на программы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и соглашений в рамках программ социально-экономического развития территории, государственно-частного партнерства и привлечения инвестиции и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в рамках программ социально-экономического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социально-экономического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«Обеспечение экономического развития соответствующей территории, а также привлечение инвестиций и грантов»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«Обеспечение экономического развития соответствующей территории, а также привлечение инвестиций и грантов»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«Обеспечение экономического развития соответствующей территории, а также привлечение инвестиций и грантов»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«Обеспечение экономического развития соответствующей территории, а также привлечение инвестиций и грантов».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55hj0ghga9r7r7dhk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dalil.kg/document/426666</w:t>
      </w:r>
    </w:hyperlink>
  </w:p>
  <w:p>
    <w:pPr>
      <w:spacing w:after="0" w:before="40"/>
      <w:jc w:val="center"/>
    </w:pPr>
    <w:hyperlink w:history="1" r:id="rIdgtni82_x3ysgssqilok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bmt2dzrnwwz96pbhss9" Type="http://schemas.openxmlformats.org/officeDocument/2006/relationships/hyperlink" Target="https://dalil.kg/document/202913" TargetMode="External"/><Relationship Id="rIddzku2az55xxdjrfgqh1dw" Type="http://schemas.openxmlformats.org/officeDocument/2006/relationships/hyperlink" Target="https://dalil.kg/document/111338" TargetMode="External"/><Relationship Id="rIdefgh5sml8gu1fmqo48fkt" Type="http://schemas.openxmlformats.org/officeDocument/2006/relationships/hyperlink" Target="https://dalil.kg/document/203102" TargetMode="External"/><Relationship Id="rIdvvm7u-7esqydghycqdgd5" Type="http://schemas.openxmlformats.org/officeDocument/2006/relationships/hyperlink" Target="https://dalil.kg/document/1190" TargetMode="External"/><Relationship Id="rId0ipzuycw9y8ex_rfpkjrr" Type="http://schemas.openxmlformats.org/officeDocument/2006/relationships/hyperlink" Target="https://dalil.kg/document/1119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55hj0ghga9r7r7dhkk7" Type="http://schemas.openxmlformats.org/officeDocument/2006/relationships/hyperlink" Target="https://dalil.kg/document/426666" TargetMode="External"/><Relationship Id="rIdgtni82_x3ysgssqilok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2026-10-01T21:15:02.446Z</dcterms:created>
  <dcterms:modified xsi:type="dcterms:W3CDTF">2026-10-01T21:15:02.446Z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