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 </w:t>
      </w:r>
    </w:p>
    <w:p>
      <w:pPr>
        <w:spacing w:after="24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 декабря 2021 года УП № 542</w:t>
      </w:r>
    </w:p>
    <w:p>
      <w:pPr>
        <w:spacing w:after="120"/>
        <w:jc w:val="both"/>
      </w:pPr>
      <w:r>
        <w:rPr>
          <w:rFonts w:ascii="Arial" w:cs="Arial" w:eastAsia="Arial" w:hAnsi="Arial"/>
          <w:sz w:val="28"/>
          <w:szCs w:val="28"/>
        </w:rPr>
        <w:t xml:space="preserve">О поддержке субъектов малого предпринимательства, создании благоприятного налогового и таможенного климата</w:t>
      </w:r>
    </w:p>
    <w:p>
      <w:pPr>
        <w:spacing w:after="120"/>
        <w:jc w:val="center"/>
      </w:pPr>
      <w:r>
        <w:rPr>
          <w:rFonts w:ascii="Arial" w:cs="Arial" w:eastAsia="Arial" w:hAnsi="Arial"/>
          <w:i/>
          <w:iCs/>
          <w:sz w:val="24"/>
          <w:szCs w:val="24"/>
        </w:rPr>
        <w:t xml:space="preserve">(В редакции Указа Президента КР от </w:t>
      </w:r>
      <w:hyperlink w:history="1" r:id="rId16dl_dzzu_89sk4cgbu7m">
        <w:r>
          <w:rPr>
            <w:rFonts w:ascii="Arial" w:cs="Arial" w:eastAsia="Arial" w:hAnsi="Arial"/>
            <w:i/>
            <w:iCs/>
            <w:color w:val="1D4ED8"/>
            <w:sz w:val="24"/>
            <w:szCs w:val="24"/>
            <w:u w:val="single"/>
          </w:rPr>
          <w:t xml:space="preserve">18 ноября 2025 года № 322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поддержки субъектов предпринимательства, повышения оперативности принимаемых решений в части налоговых и таможенных правоотношений, создания благоприятного налогового и таможенного климата для добросовестных налогоплательщиков и деловой среды, руководствуясь </w:t>
      </w:r>
      <w:hyperlink w:history="1" r:id="rIdty-gqetnwzkpcjr6elu8o">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1. Рекомендовать Кабинету Министров Кыргызской Республики:</w:t>
      </w:r>
    </w:p>
    <w:p>
      <w:pPr>
        <w:spacing w:after="120"/>
        <w:jc w:val="both"/>
      </w:pPr>
      <w:r>
        <w:rPr>
          <w:rFonts w:ascii="Arial" w:cs="Arial" w:eastAsia="Arial" w:hAnsi="Arial"/>
          <w:sz w:val="24"/>
          <w:szCs w:val="24"/>
        </w:rPr>
        <w:t xml:space="preserve">1) внести на рассмотрение Жогорку Кенеша Кыргызской Республики проекты законов Кыргызской Республики, предусматривающие освобождение субъектов, осуществляющих поставку товаров, работ и услуг населению с годовым оборотом до 8,0 млн. сомов, от уплаты всех налогов, за исключением подоходного налога и страховых взносов (с сохранением действующих ставок тарифов), путем оптимизации патентной системы налогообложения при условии обязательного применения контрольно-кассовых машин с функцией передачи данных в режиме реального времени и информационной системы электронных счетов-фактур;</w:t>
      </w:r>
    </w:p>
    <w:p>
      <w:pPr>
        <w:spacing w:after="120"/>
        <w:jc w:val="both"/>
      </w:pPr>
      <w:r>
        <w:rPr>
          <w:rFonts w:ascii="Arial" w:cs="Arial" w:eastAsia="Arial" w:hAnsi="Arial"/>
          <w:sz w:val="24"/>
          <w:szCs w:val="24"/>
        </w:rPr>
        <w:t xml:space="preserve">2) создать Единую карточку налогоплательщика и аналитическую систему контроля за уплатой налога на добавленную стоимость и акцизного налога, обеспечить запуск сервисной модели обслуживания налогоплательщиков, упростить процедуры налогового администрирования путем цифровизации основных бизнес-процессов и минимизировать контакты сотрудников налоговых органов с налогоплательщиками;</w:t>
      </w:r>
    </w:p>
    <w:p>
      <w:pPr>
        <w:spacing w:after="120"/>
        <w:jc w:val="both"/>
      </w:pPr>
      <w:r>
        <w:rPr>
          <w:rFonts w:ascii="Arial" w:cs="Arial" w:eastAsia="Arial" w:hAnsi="Arial"/>
          <w:sz w:val="24"/>
          <w:szCs w:val="24"/>
        </w:rPr>
        <w:t xml:space="preserve">3) ввести механизм прослеживаемости маркированной алкогольной и табачной продукции;</w:t>
      </w:r>
    </w:p>
    <w:p>
      <w:pPr>
        <w:spacing w:after="120"/>
        <w:jc w:val="both"/>
      </w:pPr>
      <w:r>
        <w:rPr>
          <w:rFonts w:ascii="Arial" w:cs="Arial" w:eastAsia="Arial" w:hAnsi="Arial"/>
          <w:sz w:val="24"/>
          <w:szCs w:val="24"/>
        </w:rPr>
        <w:t xml:space="preserve">4) дополнить перечень товаров, подлежащих маркировке и прослеживаемости, в том числе лекарственных средств;</w:t>
      </w:r>
    </w:p>
    <w:p>
      <w:pPr>
        <w:spacing w:after="120"/>
        <w:jc w:val="both"/>
      </w:pPr>
      <w:r>
        <w:rPr>
          <w:rFonts w:ascii="Arial" w:cs="Arial" w:eastAsia="Arial" w:hAnsi="Arial"/>
          <w:sz w:val="24"/>
          <w:szCs w:val="24"/>
        </w:rPr>
        <w:t xml:space="preserve">5) разработать и утвердить до конца 2021 года Концепцию развития таможенной службы в соответствии с Национальной программой развития Кыргызской Республики до 2026 года;</w:t>
      </w:r>
    </w:p>
    <w:p>
      <w:pPr>
        <w:spacing w:after="120"/>
        <w:jc w:val="both"/>
      </w:pPr>
      <w:r>
        <w:rPr>
          <w:rFonts w:ascii="Arial" w:cs="Arial" w:eastAsia="Arial" w:hAnsi="Arial"/>
          <w:sz w:val="24"/>
          <w:szCs w:val="24"/>
        </w:rPr>
        <w:t xml:space="preserve">6) применить принцип "одного окна" при проведении государственных видов контроля в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7) определить уполномоченный государственный орган в сфере таможенного дела государственным органом, осуществляющим полномочия единого государственного органа по принципу "одного окна" при проведении проверок товаров и транспортных средств в автомобильных пунктах пропуска на кыргызском участке таможенной границы Евразийского экономического союза;</w:t>
      </w:r>
    </w:p>
    <w:p>
      <w:pPr>
        <w:spacing w:after="120"/>
        <w:jc w:val="both"/>
      </w:pPr>
      <w:r>
        <w:rPr>
          <w:rFonts w:ascii="Arial" w:cs="Arial" w:eastAsia="Arial" w:hAnsi="Arial"/>
          <w:sz w:val="24"/>
          <w:szCs w:val="24"/>
        </w:rPr>
        <w:t xml:space="preserve">8) оптимизировать бизнес-процессы государственных контролирующих органов в автомобильных пунктах пропуска на кыргызском участке таможенной границы Евразийского экономического союза и вблизи пунктов пропуска на кыргызско-казахстанском участке Государственной границы Кыргызской Республики путем обеспечения информационного взаимодействия;</w:t>
      </w:r>
    </w:p>
    <w:p>
      <w:pPr>
        <w:spacing w:after="120"/>
        <w:jc w:val="both"/>
      </w:pPr>
      <w:r>
        <w:rPr>
          <w:rFonts w:ascii="Arial" w:cs="Arial" w:eastAsia="Arial" w:hAnsi="Arial"/>
          <w:sz w:val="24"/>
          <w:szCs w:val="24"/>
        </w:rPr>
        <w:t xml:space="preserve">9) делегировать Государственной налоговой службе при Кабинете Министров Кыргызской Республики полномочия по утверждению форм отчетов, расчетов, деклараций, документов, уведомлений, информации, информационных расчетов, патентов, контрактов, заявлений, решений, заключений, актов, порядка их заполнения, формирования и/или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10) определить координирующим органом по проведению государственного контроля (санитарно-эпидемиологический, ветеринарный, фитосанитарный, транспортный):</w:t>
      </w:r>
    </w:p>
    <w:p>
      <w:pPr>
        <w:spacing w:after="120"/>
        <w:jc w:val="both"/>
      </w:pPr>
      <w:r>
        <w:rPr>
          <w:rFonts w:ascii="Arial" w:cs="Arial" w:eastAsia="Arial" w:hAnsi="Arial"/>
          <w:sz w:val="24"/>
          <w:szCs w:val="24"/>
        </w:rPr>
        <w:t xml:space="preserve">- Государственную налоговую службу при Кабинете Министров Кыргызской Республики - в пунктах учета товаров, расположенных вблизи пунктов пропуска на кыргызско-казахстанском участке Государственной границы Кыргызской Республики;</w:t>
      </w:r>
    </w:p>
    <w:p>
      <w:pPr>
        <w:spacing w:after="120"/>
        <w:jc w:val="both"/>
      </w:pPr>
      <w:r>
        <w:rPr>
          <w:rFonts w:ascii="Arial" w:cs="Arial" w:eastAsia="Arial" w:hAnsi="Arial"/>
          <w:sz w:val="24"/>
          <w:szCs w:val="24"/>
        </w:rPr>
        <w:t xml:space="preserve">- Государственную таможенную службу при Кабинете Министров Кыргызской Республики - в автомобильных пунктах пропуска, расположенных на кыргызском участке таможенной границы Евразийского экономического союза;</w:t>
      </w:r>
    </w:p>
    <w:p>
      <w:pPr>
        <w:spacing w:after="120"/>
        <w:jc w:val="both"/>
      </w:pPr>
      <w:r>
        <w:rPr>
          <w:rFonts w:ascii="Arial" w:cs="Arial" w:eastAsia="Arial" w:hAnsi="Arial"/>
          <w:sz w:val="24"/>
          <w:szCs w:val="24"/>
        </w:rPr>
        <w:t xml:space="preserve">11) провести комплексную интеграцию систем таможенной службы и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 с системой налоговой службы с передачей баз данных в Государственную налоговую службу при Кабинете Министров Кыргызской Республики;</w:t>
      </w:r>
    </w:p>
    <w:p>
      <w:pPr>
        <w:spacing w:after="120"/>
        <w:jc w:val="both"/>
      </w:pPr>
      <w:r>
        <w:rPr>
          <w:rFonts w:ascii="Arial" w:cs="Arial" w:eastAsia="Arial" w:hAnsi="Arial"/>
          <w:sz w:val="24"/>
          <w:szCs w:val="24"/>
        </w:rPr>
        <w:t xml:space="preserve">12) оптимизировать кадровый потенциал и усилить техническое оснащение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w:t>
      </w:r>
    </w:p>
    <w:p>
      <w:pPr>
        <w:spacing w:after="120"/>
        <w:jc w:val="both"/>
      </w:pPr>
      <w:r>
        <w:rPr>
          <w:rFonts w:ascii="Arial" w:cs="Arial" w:eastAsia="Arial" w:hAnsi="Arial"/>
          <w:sz w:val="24"/>
          <w:szCs w:val="24"/>
        </w:rPr>
        <w:t xml:space="preserve">13) совместно с Национальным банком Кыргызской Республики принять действенные механизмы увеличения доли безналичных платежей с учетом мирового передового опыта в сфере цифровых платежных технологий, перехода коммерческих банков Кыргызской Республики на обязательное применение POS-терминалов с функцией контрольно-кассовых машин, обеспечивающих передачу данных в режиме реального времени в Государственную налоговую службу при Кабинете Министров Кыргызской Республики;</w:t>
      </w:r>
    </w:p>
    <w:p>
      <w:pPr>
        <w:spacing w:after="120"/>
        <w:jc w:val="both"/>
      </w:pPr>
      <w:r>
        <w:rPr>
          <w:rFonts w:ascii="Arial" w:cs="Arial" w:eastAsia="Arial" w:hAnsi="Arial"/>
          <w:sz w:val="24"/>
          <w:szCs w:val="24"/>
        </w:rPr>
        <w:t xml:space="preserve">14) принять необходимые меры, вытекающие из настоящего Указа.</w:t>
      </w:r>
    </w:p>
    <w:p>
      <w:pPr>
        <w:spacing w:after="120"/>
        <w:jc w:val="both"/>
      </w:pPr>
      <w:r>
        <w:rPr>
          <w:rFonts w:ascii="Arial" w:cs="Arial" w:eastAsia="Arial" w:hAnsi="Arial"/>
          <w:i/>
          <w:iCs/>
          <w:sz w:val="24"/>
          <w:szCs w:val="24"/>
        </w:rPr>
        <w:t xml:space="preserve">(В редакции Указа Президента КР от </w:t>
      </w:r>
      <w:hyperlink w:history="1" r:id="rId3o-ehazpwarc_u9083xhr">
        <w:r>
          <w:rPr>
            <w:rFonts w:ascii="Arial" w:cs="Arial" w:eastAsia="Arial" w:hAnsi="Arial"/>
            <w:i/>
            <w:iCs/>
            <w:color w:val="1D4ED8"/>
            <w:sz w:val="24"/>
            <w:szCs w:val="24"/>
            <w:u w:val="single"/>
          </w:rPr>
          <w:t xml:space="preserve">18 ноября 2025 года № 322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fpidi78qxiyy5jt3x6k">
      <w:r>
        <w:rPr>
          <w:rFonts w:ascii="Arial" w:cs="Arial" w:eastAsia="Arial" w:hAnsi="Arial"/>
          <w:color w:val="132D3F"/>
          <w:sz w:val="16"/>
          <w:szCs w:val="16"/>
          <w:u w:val="single"/>
        </w:rPr>
        <w:t xml:space="preserve">dalil.kg/document/430769</w:t>
      </w:r>
    </w:hyperlink>
  </w:p>
  <w:p>
    <w:pPr>
      <w:spacing w:after="0" w:before="40"/>
      <w:jc w:val="center"/>
    </w:pPr>
    <w:hyperlink w:history="1" r:id="rIdmrd31gx86kacfaxw30k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6dl_dzzu_89sk4cgbu7m" Type="http://schemas.openxmlformats.org/officeDocument/2006/relationships/hyperlink" Target="https://dalil.kg/document/230035260" TargetMode="External"/><Relationship Id="rIdty-gqetnwzkpcjr6elu8o" Type="http://schemas.openxmlformats.org/officeDocument/2006/relationships/hyperlink" Target="https://dalil.kg/document/112213#st_71" TargetMode="External"/><Relationship Id="rId3o-ehazpwarc_u9083xhr" Type="http://schemas.openxmlformats.org/officeDocument/2006/relationships/hyperlink" Target="https://dalil.kg/document/2300352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fpidi78qxiyy5jt3x6k" Type="http://schemas.openxmlformats.org/officeDocument/2006/relationships/hyperlink" Target="https://dalil.kg/document/430769" TargetMode="External"/><Relationship Id="rIdmrd31gx86kacfaxw30k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2026-09-27T04:34:52.476Z</dcterms:created>
  <dcterms:modified xsi:type="dcterms:W3CDTF">2026-09-27T04:34:52.476Z</dcterms:modified>
</cp:coreProperties>
</file>

<file path=docProps/custom.xml><?xml version="1.0" encoding="utf-8"?>
<Properties xmlns="http://schemas.openxmlformats.org/officeDocument/2006/custom-properties" xmlns:vt="http://schemas.openxmlformats.org/officeDocument/2006/docPropsVTypes"/>
</file>