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8"/>
          <w:szCs w:val="28"/>
        </w:rPr>
        <w:t xml:space="preserve">ПОЛОЖЕНИЕ
 о порядке выдачи и применения марок акцизного сбора в Кыргызской Республике</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zixi26kh87dxz6kg7iabs">
        <w:r>
          <w:rPr>
            <w:rFonts w:ascii="Arial" w:cs="Arial" w:eastAsia="Arial" w:hAnsi="Arial"/>
            <w:i/>
            <w:iCs/>
            <w:color w:val="1D4ED8"/>
            <w:sz w:val="24"/>
            <w:szCs w:val="24"/>
            <w:u w:val="single"/>
          </w:rPr>
          <w:t xml:space="preserve">17 февраля 2023 года № 82</w:t>
        </w:r>
      </w:hyperlink>
      <w:r>
        <w:rPr>
          <w:rFonts w:ascii="Arial" w:cs="Arial" w:eastAsia="Arial" w:hAnsi="Arial"/>
          <w:i/>
          <w:iCs/>
          <w:sz w:val="24"/>
          <w:szCs w:val="24"/>
        </w:rPr>
        <w:t xml:space="preserve">, </w:t>
      </w:r>
      <w:hyperlink w:history="1" r:id="rIdpb5ebubcnkquueyzjcvdp">
        <w:r>
          <w:rPr>
            <w:rFonts w:ascii="Arial" w:cs="Arial" w:eastAsia="Arial" w:hAnsi="Arial"/>
            <w:i/>
            <w:iCs/>
            <w:color w:val="1D4ED8"/>
            <w:sz w:val="24"/>
            <w:szCs w:val="24"/>
            <w:u w:val="single"/>
          </w:rPr>
          <w:t xml:space="preserve">13 сентября 2023 года № 470</w:t>
        </w:r>
      </w:hyperlink>
      <w:r>
        <w:rPr>
          <w:rFonts w:ascii="Arial" w:cs="Arial" w:eastAsia="Arial" w:hAnsi="Arial"/>
          <w:i/>
          <w:iCs/>
          <w:sz w:val="24"/>
          <w:szCs w:val="24"/>
        </w:rPr>
        <w:t xml:space="preserve">, </w:t>
      </w:r>
      <w:hyperlink w:history="1" r:id="rId7djtk4xck0atpinc3c3jj">
        <w:r>
          <w:rPr>
            <w:rFonts w:ascii="Arial" w:cs="Arial" w:eastAsia="Arial" w:hAnsi="Arial"/>
            <w:i/>
            <w:iCs/>
            <w:color w:val="1D4ED8"/>
            <w:sz w:val="24"/>
            <w:szCs w:val="24"/>
            <w:u w:val="single"/>
          </w:rPr>
          <w:t xml:space="preserve">4 декабря 2023 года № 632</w:t>
        </w:r>
      </w:hyperlink>
      <w:r>
        <w:rPr>
          <w:rFonts w:ascii="Arial" w:cs="Arial" w:eastAsia="Arial" w:hAnsi="Arial"/>
          <w:sz w:val="20"/>
          <w:szCs w:val="20"/>
        </w:rPr>
        <w:t xml:space="preserve">, </w:t>
      </w:r>
      <w:hyperlink w:history="1" r:id="rIdxqvktxlkfye3tfv5hll5x">
        <w:r>
          <w:rPr>
            <w:rFonts w:ascii="Arial" w:cs="Arial" w:eastAsia="Arial" w:hAnsi="Arial"/>
            <w:i/>
            <w:iCs/>
            <w:color w:val="1D4ED8"/>
            <w:sz w:val="24"/>
            <w:szCs w:val="24"/>
            <w:u w:val="single"/>
          </w:rPr>
          <w:t xml:space="preserve">15 марта 2024 года № 118</w:t>
        </w:r>
      </w:hyperlink>
      <w:r>
        <w:rPr>
          <w:rFonts w:ascii="Arial" w:cs="Arial" w:eastAsia="Arial" w:hAnsi="Arial"/>
          <w:sz w:val="20"/>
          <w:szCs w:val="20"/>
        </w:rPr>
        <w:t xml:space="preserve">,</w:t>
      </w:r>
      <w:hyperlink w:history="1" r:id="rIdx0_-u7-_jd5m_dxttd_b-">
        <w:r>
          <w:rPr>
            <w:rFonts w:ascii="Arial" w:cs="Arial" w:eastAsia="Arial" w:hAnsi="Arial"/>
            <w:i/>
            <w:iCs/>
            <w:color w:val="1D4ED8"/>
            <w:sz w:val="24"/>
            <w:szCs w:val="24"/>
            <w:u w:val="single"/>
          </w:rPr>
          <w:t xml:space="preserve">12 апреля 2024 года № 169</w:t>
        </w:r>
      </w:hyperlink>
      <w:r>
        <w:rPr>
          <w:rFonts w:ascii="Arial" w:cs="Arial" w:eastAsia="Arial" w:hAnsi="Arial"/>
          <w:sz w:val="20"/>
          <w:szCs w:val="20"/>
        </w:rPr>
        <w:t xml:space="preserve">, </w:t>
      </w:r>
      <w:hyperlink w:history="1" r:id="rIdctmbltkckxco4hdzgzrkg">
        <w:r>
          <w:rPr>
            <w:rFonts w:ascii="Arial" w:cs="Arial" w:eastAsia="Arial" w:hAnsi="Arial"/>
            <w:i/>
            <w:iCs/>
            <w:color w:val="1D4ED8"/>
            <w:sz w:val="24"/>
            <w:szCs w:val="24"/>
            <w:u w:val="single"/>
          </w:rPr>
          <w:t xml:space="preserve">24 июня 2024 года № 328, </w:t>
        </w:r>
      </w:hyperlink>
      <w:hyperlink w:history="1" r:id="rIdi8ypapzxbpc2bb0hividu">
        <w:r>
          <w:rPr>
            <w:rFonts w:ascii="Arial" w:cs="Arial" w:eastAsia="Arial" w:hAnsi="Arial"/>
            <w:i/>
            <w:iCs/>
            <w:color w:val="1D4ED8"/>
            <w:sz w:val="24"/>
            <w:szCs w:val="24"/>
            <w:u w:val="single"/>
          </w:rPr>
          <w:t xml:space="preserve">27 августа 2024 года № 525, </w:t>
        </w:r>
      </w:hyperlink>
      <w:hyperlink w:history="1" r:id="rIdigjbe3a6jjmeqv4nvullx">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200" w:before="200"/>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статьи 345 Налогового кодекса Кыргызской Республики и определяет порядок приобретения и применения марок акцизного сбора на территории Кыргызской Республики.</w:t>
      </w:r>
    </w:p>
    <w:p>
      <w:pPr>
        <w:spacing w:after="120"/>
        <w:jc w:val="both"/>
      </w:pPr>
      <w:r>
        <w:rPr>
          <w:rFonts w:ascii="Arial" w:cs="Arial" w:eastAsia="Arial" w:hAnsi="Arial"/>
          <w:sz w:val="24"/>
          <w:szCs w:val="24"/>
        </w:rPr>
        <w:t xml:space="preserve">В целях настоящего Положения использованы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маркируемой продукции;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банк</w:t>
      </w:r>
      <w:r>
        <w:rPr>
          <w:rFonts w:ascii="Arial" w:cs="Arial" w:eastAsia="Arial" w:hAnsi="Arial"/>
          <w:sz w:val="24"/>
          <w:szCs w:val="24"/>
        </w:rPr>
        <w:t xml:space="preserve"> - коммерческий банк, заключивший договор на обслуживание с уполномоченным налоговым органом и имеющий лицензию или свидетельство Национального банка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маркируемая продукция</w:t>
      </w:r>
      <w:r>
        <w:rPr>
          <w:rFonts w:ascii="Arial" w:cs="Arial" w:eastAsia="Arial" w:hAnsi="Arial"/>
          <w:sz w:val="24"/>
          <w:szCs w:val="24"/>
        </w:rPr>
        <w:t xml:space="preserve"> - производимые на территории Кыргызской Республики и импортируемые на территорию Кыргызской Республики подакцизные товары, перечень которых указан в пунктах 2-8 части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 (за исключением сусла виноградного, код ТН ВЭД 220430), и масла смазочные, масла прочие, присадки к смазочным маслам, содержащие нефть или нефтепродукты, полученные из битуминозных пород, классифицируемые в товарной позиции ТН ВЭД 2710197100-2710199800, 3403199000 и 3811210000, а также жидкие очистители, спреи для автомобилей и уайт-спирит, не предназначенные для использования в качестве автомобильного топлива, расфасованные в тару объемом 10 литров и менее, классифицируемые в товарных позициях ТН ВЭД 3811190000, 2710122509, 2710122100;</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номинальная стоимость акцизной марки</w:t>
      </w:r>
      <w:r>
        <w:rPr>
          <w:rFonts w:ascii="Arial" w:cs="Arial" w:eastAsia="Arial" w:hAnsi="Arial"/>
          <w:sz w:val="24"/>
          <w:szCs w:val="24"/>
        </w:rPr>
        <w:t xml:space="preserve"> - отпускная цена акцизной марки при реализации через уполномоченный банк;</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марка (наименование) табачного изделия</w:t>
      </w:r>
      <w:r>
        <w:rPr>
          <w:rFonts w:ascii="Arial" w:cs="Arial" w:eastAsia="Arial" w:hAnsi="Arial"/>
          <w:sz w:val="24"/>
          <w:szCs w:val="24"/>
        </w:rPr>
        <w:t xml:space="preserve">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электронно-информационный элемент</w:t>
      </w:r>
      <w:r>
        <w:rPr>
          <w:rFonts w:ascii="Arial" w:cs="Arial" w:eastAsia="Arial" w:hAnsi="Arial"/>
          <w:sz w:val="24"/>
          <w:szCs w:val="24"/>
        </w:rPr>
        <w:t xml:space="preserve"> - элемент на акцизной марке, определяемый электронными устройствами и/или программными приложениями, способный нести в себе информацию, позволяющий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120"/>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кодексом Кыргызской Республики и/или Таможенным кодексом Таможенного союза Евразийского экономического союза.</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банковская гарантия</w:t>
      </w:r>
      <w:r>
        <w:rPr>
          <w:rFonts w:ascii="Arial" w:cs="Arial" w:eastAsia="Arial" w:hAnsi="Arial"/>
          <w:sz w:val="24"/>
          <w:szCs w:val="24"/>
        </w:rPr>
        <w:t xml:space="preserve">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r>
        <w:rPr>
          <w:rFonts w:ascii="Arial" w:cs="Arial" w:eastAsia="Arial" w:hAnsi="Arial"/>
          <w:sz w:val="24"/>
          <w:szCs w:val="24"/>
        </w:rPr>
        <w:t xml:space="preserve"> - государственный орган исполнительной власти Кыргызской Республики, определяемый Кабинетом Министров Кыргызской Республики, осуществляющий обеспечение единой государственной политики в области производства, импорта, хранения и оборота этилового спирта, алкогольной и спиртосодержащей продукции, и осуществляющий государственный контроль в сфере производства и оборота этилового спирта, алкогольной и спиртосодержащей продукции.</w:t>
      </w:r>
    </w:p>
    <w:p>
      <w:pPr>
        <w:spacing w:after="120"/>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rq0cigezvullzqkfcske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w:t>
      </w:r>
      <w:hyperlink w:history="1" r:id="rIdlmenkjvi5px8n9ffjzwy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Евразийского экономического союза.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1gsu1rcycbbsdlug1niyt">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hyperlink w:history="1" r:id="rIdzsndv-lvbcnat-bgaals2">
        <w:r>
          <w:rPr>
            <w:rFonts w:ascii="Arial" w:cs="Arial" w:eastAsia="Arial" w:hAnsi="Arial"/>
            <w:color w:val="1D4ED8"/>
            <w:sz w:val="24"/>
            <w:szCs w:val="24"/>
            <w:u w:val="single"/>
          </w:rPr>
          <w:t xml:space="preserve">4 декабря 2023 года № 632</w:t>
        </w:r>
      </w:hyperlink>
      <w:r>
        <w:rPr>
          <w:rFonts w:ascii="Arial" w:cs="Arial" w:eastAsia="Arial" w:hAnsi="Arial"/>
          <w:sz w:val="24"/>
          <w:szCs w:val="24"/>
        </w:rPr>
        <w:t xml:space="preserve">, </w:t>
      </w:r>
      <w:hyperlink w:history="1" r:id="rIdka9peynusaollauy-bhs5">
        <w:r>
          <w:rPr>
            <w:rFonts w:ascii="Arial" w:cs="Arial" w:eastAsia="Arial" w:hAnsi="Arial"/>
            <w:color w:val="1D4ED8"/>
            <w:sz w:val="24"/>
            <w:szCs w:val="24"/>
            <w:u w:val="single"/>
          </w:rPr>
          <w:t xml:space="preserve">12 апреля 2024 года № 169, </w:t>
        </w:r>
      </w:hyperlink>
      <w:hyperlink w:history="1" r:id="rIdmzsiuxst2rwlgvdy0cvcb">
        <w:r>
          <w:rPr>
            <w:rFonts w:ascii="Arial" w:cs="Arial" w:eastAsia="Arial" w:hAnsi="Arial"/>
            <w:color w:val="1D4ED8"/>
            <w:sz w:val="24"/>
            <w:szCs w:val="24"/>
            <w:u w:val="single"/>
          </w:rPr>
          <w:t xml:space="preserve">27 августа 2024 года № 525</w:t>
        </w:r>
      </w:hyperlink>
      <w:r>
        <w:rPr>
          <w:rFonts w:ascii="Arial" w:cs="Arial" w:eastAsia="Arial" w:hAnsi="Arial"/>
          <w:sz w:val="24"/>
          <w:szCs w:val="24"/>
        </w:rPr>
        <w:t xml:space="preserve">,</w:t>
      </w:r>
      <w:hyperlink w:history="1" r:id="rIdeoqerkxs56dgtxctgrpcf">
        <w:r>
          <w:rPr>
            <w:rFonts w:ascii="Arial" w:cs="Arial" w:eastAsia="Arial" w:hAnsi="Arial"/>
            <w:color w:val="1D4ED8"/>
            <w:sz w:val="24"/>
            <w:szCs w:val="24"/>
            <w:u w:val="single"/>
          </w:rPr>
          <w:t xml:space="preserve"> 4 апреля 2025 года № 179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маркируемой продукции, не обозначенной акцизными марками, а также ввоз на территорию Кыргызской Республики, транспортировка, прием на комиссию или консигнацию маркируемой продукции без акцизных марок.</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маркируемой продукции, не обозначенной акцизными марками, в пределах норм, установленных законодательством Кыргызской Республики.</w:t>
      </w:r>
    </w:p>
    <w:p>
      <w:pPr>
        <w:spacing w:after="120"/>
        <w:jc w:val="both"/>
      </w:pPr>
      <w:r>
        <w:rPr>
          <w:rFonts w:ascii="Arial" w:cs="Arial" w:eastAsia="Arial" w:hAnsi="Arial"/>
          <w:sz w:val="24"/>
          <w:szCs w:val="24"/>
        </w:rPr>
        <w:t xml:space="preserve">3.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 перечень которых указан в пунктах 2-8 части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 (за исключением сусла виноградного, код ТН ВЭД 220430), и масла смазочные, масла прочие, присадки к смазочным маслам, содержащие нефть или нефтепродукты, полученные из битуминозных пород, классифицируемые в товарной позиции ТН ВЭД 2710197100-2710199800, 3403199000 и 3811210000, а также жидкие очистители, спреи для автомобилей и уайт-спирит, не предназначенные для использования в качестве автомобильного топлива, расфасованные в тару объемом 10 литров и менее, классифицируемые в товарных позициях ТН ВЭД 3811190000, 2710122509, 2710122100. Маркировка подакцизной продукции по видам, наименованиям и емкости (для алкогольных изделий и воды, включая минеральные и газированные, содержащие добавки сахара или других подслащивающих, или вкусоароматических веществ) производится в соответствии с типами и номерами акцизных марок, указанными в решении органа налоговой службы о выдаче акцизных марок.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qqf-_ljj_67tdwzozw_j">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Кабинетом Министров Кыргызской Республики определяются сроки обязательной маркировки и запрета на оборот немаркированной маркой акцизного сбора следующих подакцизных товаров:</w:t>
      </w:r>
    </w:p>
    <w:p>
      <w:pPr>
        <w:spacing w:after="60"/>
        <w:ind w:firstLine="567"/>
        <w:jc w:val="both"/>
      </w:pPr>
      <w:r>
        <w:rPr>
          <w:rFonts w:ascii="Arial" w:cs="Arial" w:eastAsia="Arial" w:hAnsi="Arial"/>
          <w:sz w:val="24"/>
          <w:szCs w:val="24"/>
        </w:rPr>
        <w:t xml:space="preserve">- пиво, расфасованное и нефасованное, классифицируемое в товарной позиции ТН ВЭД 2203;</w:t>
      </w:r>
    </w:p>
    <w:p>
      <w:pPr>
        <w:spacing w:after="60"/>
        <w:ind w:firstLine="567"/>
        <w:jc w:val="both"/>
      </w:pPr>
      <w:r>
        <w:rPr>
          <w:rFonts w:ascii="Arial" w:cs="Arial" w:eastAsia="Arial" w:hAnsi="Arial"/>
          <w:sz w:val="24"/>
          <w:szCs w:val="24"/>
        </w:rPr>
        <w:t xml:space="preserve">- тонизирующие (энергетические) безалкогольные напитки, классифицируемые в товарной позиции ТН ВЭД 2202;</w:t>
      </w:r>
    </w:p>
    <w:p>
      <w:pPr>
        <w:spacing w:after="60"/>
        <w:ind w:firstLine="567"/>
        <w:jc w:val="both"/>
      </w:pPr>
      <w:r>
        <w:rPr>
          <w:rFonts w:ascii="Arial" w:cs="Arial" w:eastAsia="Arial" w:hAnsi="Arial"/>
          <w:sz w:val="24"/>
          <w:szCs w:val="24"/>
        </w:rPr>
        <w:t xml:space="preserve">- табачные изделия, указанные в подпунктах 6, 7 и 8 пункта 1 </w:t>
      </w:r>
      <w:r>
        <w:rPr>
          <w:rFonts w:ascii="Arial" w:cs="Arial" w:eastAsia="Arial" w:hAnsi="Arial"/>
          <w:sz w:val="24"/>
          <w:szCs w:val="24"/>
        </w:rPr>
        <w:t xml:space="preserve">статьи 334</w:t>
      </w:r>
      <w:r>
        <w:rPr>
          <w:rFonts w:ascii="Arial" w:cs="Arial" w:eastAsia="Arial" w:hAnsi="Arial"/>
          <w:sz w:val="24"/>
          <w:szCs w:val="24"/>
        </w:rPr>
        <w:t xml:space="preserve"> Налогового кодекса Кыргызской Республики.</w:t>
      </w:r>
    </w:p>
    <w:p>
      <w:pPr>
        <w:spacing w:after="60"/>
        <w:ind w:firstLine="567"/>
        <w:jc w:val="both"/>
      </w:pPr>
      <w:r>
        <w:rPr>
          <w:rFonts w:ascii="Arial" w:cs="Arial" w:eastAsia="Arial" w:hAnsi="Arial"/>
          <w:sz w:val="24"/>
          <w:szCs w:val="24"/>
        </w:rPr>
        <w:t xml:space="preserve">5. Маркируемая продукция, произведенная налогоплательщиком для экспорта, не подлежит маркировке акцизными марками при отправке на экспорт. Запрещается реализация на территории Кыргызской Республики продукции, подлежащей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акцизными марками.</w:t>
      </w:r>
    </w:p>
    <w:p>
      <w:pPr>
        <w:spacing w:after="120"/>
        <w:jc w:val="both"/>
      </w:pPr>
      <w:r>
        <w:rPr>
          <w:rFonts w:ascii="Arial" w:cs="Arial" w:eastAsia="Arial" w:hAnsi="Arial"/>
          <w:sz w:val="24"/>
          <w:szCs w:val="24"/>
        </w:rPr>
        <w:t xml:space="preserve">6. Наличие акцизной марки на бутылке, пачке или другой таре, в которую разлита или расфасована маркируемая продукция,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120"/>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Маркировка пива, разлитого в полимерную кегу, упакованную в одноразовую картонную коробку, в которой полимерный кег реализуется без возможности отделения от данной коробки или повторного использования данной картонной коробки, осуществляется нанесением на картонную коробку.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aehnkatljyakybu8ludj7">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Маркировка осуществляется способом, исключающим повторное использование акцизных марок. </w:t>
      </w:r>
      <w:r>
        <w:rPr>
          <w:rFonts w:ascii="Arial" w:cs="Arial" w:eastAsia="Arial" w:hAnsi="Arial"/>
          <w:sz w:val="24"/>
          <w:szCs w:val="24"/>
        </w:rPr>
        <w:t xml:space="preserve">Место наклейки должно определяться так, чтобы акцизная марка разрывалась во время раскупорки (раскрытия) бутылки, пачки или иной тары, за исключением бутылки или иной тары для воды, включая минеральные и газированные, содержащие добавки сахара или других подслащивающих или вкусо-ароматических веществ, классифицируемой в товарной позиции ТН ВЭД 2202.</w:t>
      </w:r>
      <w:r>
        <w:rPr>
          <w:rFonts w:ascii="Arial" w:cs="Arial" w:eastAsia="Arial" w:hAnsi="Arial"/>
          <w:sz w:val="24"/>
          <w:szCs w:val="24"/>
        </w:rPr>
        <w:t xml:space="preserve"> При нанесении акцизных марок должен использоваться клей, не позволяющий снять акцизную марку с товара без ее повреждения.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fy8gkno_tu6-hhoplwujp">
        <w:r>
          <w:rPr>
            <w:rFonts w:ascii="Arial" w:cs="Arial" w:eastAsia="Arial" w:hAnsi="Arial"/>
            <w:color w:val="1D4ED8"/>
            <w:sz w:val="24"/>
            <w:szCs w:val="24"/>
            <w:u w:val="single"/>
          </w:rPr>
          <w:t xml:space="preserve">15 марта 2024 года № </w:t>
        </w:r>
      </w:hyperlink>
      <w:r>
        <w:rPr>
          <w:rFonts w:ascii="Arial" w:cs="Arial" w:eastAsia="Arial" w:hAnsi="Arial"/>
          <w:sz w:val="24"/>
          <w:szCs w:val="24"/>
        </w:rPr>
        <w:t xml:space="preserve">118)</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Маркировка вод, включая минеральные и газированные, содержащие добавки сахара или других подслащивающих или вкусо-ароматических веществ, классифицируемых в товарной позиции ТН ВЭД 2202, осуществляется на крышку или место, предназначенное для открытия продукции. На продукцию, классифицируемую в товарной позиции ТН ВЭД 2202, разлитую в алюминиевую банку или тетрапак, предназначенные для одноразового использования, маркировка допускается на любую более плоскую часть поверхности тары.</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pxowzhakc84qg4nimwl8b">
        <w:r>
          <w:rPr>
            <w:rFonts w:ascii="Arial" w:cs="Arial" w:eastAsia="Arial" w:hAnsi="Arial"/>
            <w:color w:val="1D4ED8"/>
            <w:sz w:val="24"/>
            <w:szCs w:val="24"/>
            <w:u w:val="single"/>
          </w:rPr>
          <w:t xml:space="preserve">15 марта 2024 года № 118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На пачке табачных изделий, классифицируемых в товарной позиции ТН ВЭД 2402 и 2404,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акцизных марок и указание сведений о дате изготовления производятся в обязательном порядке под целлофановую упаковку.</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8f19yv8t73geopbtgrtah">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9. Не допускается нанесение поверх надписи сведений о дате изготовления табачных изделий каких-либо элементов упаковки (пачки) либо наклеивание акцизной марки.</w:t>
      </w:r>
    </w:p>
    <w:p>
      <w:pPr>
        <w:spacing w:after="60"/>
        <w:ind w:firstLine="567"/>
        <w:jc w:val="both"/>
      </w:pPr>
      <w:r>
        <w:rPr>
          <w:rFonts w:ascii="Arial" w:cs="Arial" w:eastAsia="Arial" w:hAnsi="Arial"/>
          <w:sz w:val="24"/>
          <w:szCs w:val="24"/>
        </w:rPr>
        <w:t xml:space="preserve">10. К указанию сведений о дате изготовления табачных изделий предъявляются следующие требования:</w:t>
      </w:r>
    </w:p>
    <w:p>
      <w:pPr>
        <w:spacing w:after="60"/>
        <w:ind w:firstLine="567"/>
        <w:jc w:val="both"/>
      </w:pPr>
      <w:r>
        <w:rPr>
          <w:rFonts w:ascii="Arial" w:cs="Arial" w:eastAsia="Arial" w:hAnsi="Arial"/>
          <w:sz w:val="24"/>
          <w:szCs w:val="24"/>
        </w:rPr>
        <w:t xml:space="preserve">1) надпись должна быть четкой и легко читаемой;</w:t>
      </w:r>
    </w:p>
    <w:p>
      <w:pPr>
        <w:spacing w:after="60"/>
        <w:ind w:firstLine="56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60"/>
        <w:ind w:firstLine="56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60"/>
        <w:ind w:firstLine="567"/>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На табачной и никотинсодержащей продукции, классифицируемой товарной позицией ТН ВЭД 2403 и 2404, маркировка акцизной марки осуществляется путем нанесения на одноразовую потребительскую упаковку, в которую расфасована продукция.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gnplk3very62fi0tjm3e">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w:t>
      </w:r>
      <w:r>
        <w:rPr>
          <w:rFonts w:ascii="Arial" w:cs="Arial" w:eastAsia="Arial" w:hAnsi="Arial"/>
          <w:sz w:val="24"/>
          <w:szCs w:val="24"/>
        </w:rPr>
        <w:t xml:space="preserve">2</w:t>
      </w:r>
      <w:r>
        <w:rPr>
          <w:rFonts w:ascii="Arial" w:cs="Arial" w:eastAsia="Arial" w:hAnsi="Arial"/>
          <w:sz w:val="24"/>
          <w:szCs w:val="24"/>
        </w:rPr>
        <w:t xml:space="preserve">. Сигареты электронные и аналогичные индивидуальные электрические испарительные устройства (электронные системы доставки никотина), классифицируемые товарной позицией ТН ВЭД 8543 40 000 0, маркируются путем нанесения акцизной марки на или под специальную целлофановую упаковку потребительской упаковки способом, не допускающим их отделения без повреждения.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jpua59l0bfeowfgngliqr">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У потребительских упаковок, указанных в пунктах 10-1 и 10-2 настоящего Положения, должна отсутствовать возможность вскрытия упаковки без разрыва акцизной марки. В случае наличия у потребительской упаковки возможности вскрытия через немаркированные крышки данные крышки должны быть запечатаны таким образом, чтобы не допускать вскрытия без повреждения самой потребительской упаковки, за исключением безалкогольных напитков, разлитых в алюминиевую банку и тетрапак.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gjzriefdnpclya7a2xvp_">
        <w:r>
          <w:rPr>
            <w:rFonts w:ascii="Arial" w:cs="Arial" w:eastAsia="Arial" w:hAnsi="Arial"/>
            <w:color w:val="1D4ED8"/>
            <w:sz w:val="24"/>
            <w:szCs w:val="24"/>
            <w:u w:val="single"/>
          </w:rPr>
          <w:t xml:space="preserve">15 марта 2024 года № 118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Продукция, маркированная с отклонением от требований настоящего Положения, рассматривается как немаркированная.</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Акцизные марки изготавливаются по заказу уполномоченного налогового органа согласно договору (контракту), заключенному с поставщиком в соответствии с законодательством Кыргызской Республики в сфере государственных закупок. Форма и образцы акцизных марок разрабатываются уполномоченным налоговым органом совместно с поставщиком. Форма и образцы акцизных марок утверждаются уполномоченным налоговым органом.</w:t>
      </w:r>
    </w:p>
    <w:p>
      <w:pPr>
        <w:spacing w:after="60"/>
        <w:ind w:firstLine="567"/>
        <w:jc w:val="both"/>
      </w:pPr>
      <w:r>
        <w:rPr>
          <w:rFonts w:ascii="Arial" w:cs="Arial" w:eastAsia="Arial" w:hAnsi="Arial"/>
          <w:sz w:val="24"/>
          <w:szCs w:val="24"/>
        </w:rPr>
        <w:t xml:space="preserve">Акцизные марки выдаются через банковскую систему Кыргызской Республики для применения на территории Кыргызской Республики, а также направляются за рубеж непосредственно на заводы-производители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mfrir5_txelgr16jj750">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Акцизные марки, приобретенные для обозначения маркируемой продукции, производимой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маркируемой продукции.</w:t>
      </w:r>
    </w:p>
    <w:p>
      <w:pPr>
        <w:spacing w:after="60"/>
        <w:ind w:firstLine="567"/>
        <w:jc w:val="both"/>
      </w:pPr>
      <w:r>
        <w:rPr>
          <w:rFonts w:ascii="Arial" w:cs="Arial" w:eastAsia="Arial" w:hAnsi="Arial"/>
          <w:sz w:val="24"/>
          <w:szCs w:val="24"/>
        </w:rPr>
        <w:t xml:space="preserve">14. Акцизные марки, приобретенные в уполномоченном банке, для наклейки за рубежом на заводе-производителе маркируемой продукции вывозятся с территории Кыргызской Республики без взимания таможенных платежей под таможенной процедурой временного ввоза (допуска)/вывоза.</w:t>
      </w:r>
    </w:p>
    <w:p>
      <w:pPr>
        <w:spacing w:after="60"/>
        <w:ind w:firstLine="567"/>
        <w:jc w:val="both"/>
      </w:pPr>
      <w:r>
        <w:rPr>
          <w:rFonts w:ascii="Arial" w:cs="Arial" w:eastAsia="Arial" w:hAnsi="Arial"/>
          <w:sz w:val="24"/>
          <w:szCs w:val="24"/>
        </w:rPr>
        <w:t xml:space="preserve">15. Оплата стоимости акцизных марок налогоплательщиком производится путем перечисления денежных средств на специальный блокированный счет в уполномоченном банке.</w:t>
      </w:r>
    </w:p>
    <w:p>
      <w:pPr>
        <w:spacing w:after="120"/>
        <w:jc w:val="both"/>
      </w:pPr>
      <w:r>
        <w:rPr>
          <w:rFonts w:ascii="Arial" w:cs="Arial" w:eastAsia="Arial" w:hAnsi="Arial"/>
          <w:sz w:val="24"/>
          <w:szCs w:val="24"/>
        </w:rPr>
        <w:t xml:space="preserve">16. Уполномоченный налоговый орган согласно выставленным счетам оплачивает стоимость акцизных марок,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18 настоящего Положения, а также на цели, определенные решениями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aqzffjpgks90mdf9m_gc">
        <w:r>
          <w:rPr>
            <w:rFonts w:ascii="Arial" w:cs="Arial" w:eastAsia="Arial" w:hAnsi="Arial"/>
            <w:color w:val="1D4ED8"/>
            <w:sz w:val="24"/>
            <w:szCs w:val="24"/>
            <w:u w:val="single"/>
          </w:rPr>
          <w:t xml:space="preserve">13 сентября 2023 года № 470</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Порядок выдачи акцизных марок</w:t>
      </w:r>
    </w:p>
    <w:p>
      <w:pPr>
        <w:spacing w:after="60"/>
        <w:ind w:firstLine="567"/>
        <w:jc w:val="both"/>
      </w:pPr>
      <w:r>
        <w:rPr>
          <w:rFonts w:ascii="Arial" w:cs="Arial" w:eastAsia="Arial" w:hAnsi="Arial"/>
          <w:sz w:val="24"/>
          <w:szCs w:val="24"/>
        </w:rPr>
        <w:t xml:space="preserve">17. Уполномоченный банк выдает налогоплательщику акцизные марки только после уплаты им номинальной стоимости акцизных марок. При приобретении акцизных марок налогоплательщик, кроме номинальной стоимости акцизной марки, одновременно уплачивает акцизный налог на маркируемую продукцию по установленной законодательством Кыргызской Республики ставке акцизного налога.</w:t>
      </w:r>
    </w:p>
    <w:p>
      <w:pPr>
        <w:spacing w:after="60"/>
        <w:ind w:firstLine="567"/>
        <w:jc w:val="both"/>
      </w:pPr>
      <w:r>
        <w:rPr>
          <w:rFonts w:ascii="Arial" w:cs="Arial" w:eastAsia="Arial" w:hAnsi="Arial"/>
          <w:sz w:val="24"/>
          <w:szCs w:val="24"/>
        </w:rPr>
        <w:t xml:space="preserve">18. Номинальная стоимость акцизной марки определяется уполномоченным налоговым органом. Номинальная стоимость акцизной марки складывается из стоимости изготовления акцизной марки, транспортных расходов, в том числе расходов по доставке акцизных марок от уполномоченного банка до зарубежных заводов-изготовителей,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60"/>
        <w:ind w:firstLine="56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акцизных марок, вычислительной техники, средств связи, оборудования для наклейки акцизных марок и оплату расходов по изготовлению учетно-методических пособий и проведению разъяснительной работы.</w:t>
      </w:r>
    </w:p>
    <w:p>
      <w:pPr>
        <w:spacing w:after="60"/>
        <w:ind w:firstLine="567"/>
        <w:jc w:val="both"/>
      </w:pPr>
      <w:r>
        <w:rPr>
          <w:rFonts w:ascii="Arial" w:cs="Arial" w:eastAsia="Arial" w:hAnsi="Arial"/>
          <w:sz w:val="24"/>
          <w:szCs w:val="24"/>
        </w:rPr>
        <w:t xml:space="preserve">19. Реализация акцизных марок налогоплательщику производится путем выдачи марок через уполномоченный банк или путем отправки акцизных марок непосредственно на завод-производитель маркируемой продукции. Маркируемая продукция, ввозимая из государств-членов Евразийского экономического союза, подлежит маркировке исключительно на заводе-производителе маркируемой продукции.</w:t>
      </w:r>
    </w:p>
    <w:p>
      <w:pPr>
        <w:spacing w:after="60"/>
        <w:ind w:firstLine="567"/>
        <w:jc w:val="both"/>
      </w:pPr>
      <w:r>
        <w:rPr>
          <w:rFonts w:ascii="Arial" w:cs="Arial" w:eastAsia="Arial" w:hAnsi="Arial"/>
          <w:sz w:val="24"/>
          <w:szCs w:val="24"/>
        </w:rPr>
        <w:t xml:space="preserve">Решение о выдаче акцизных марок уполномоченным банком принимается территориальным налоговым органом при представлении следующих документов:</w:t>
      </w:r>
    </w:p>
    <w:p>
      <w:pPr>
        <w:spacing w:after="60"/>
        <w:ind w:firstLine="567"/>
        <w:jc w:val="both"/>
      </w:pPr>
      <w:r>
        <w:rPr>
          <w:rFonts w:ascii="Arial" w:cs="Arial" w:eastAsia="Arial" w:hAnsi="Arial"/>
          <w:sz w:val="24"/>
          <w:szCs w:val="24"/>
        </w:rPr>
        <w:t xml:space="preserve">- заявление-расчет (в 2 экземплярах согласно </w:t>
      </w:r>
      <w:hyperlink w:history="1" r:id="rId1vpm2radsuj-onwx3mvy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К заявлению-расчету налогоплательщика прилагается спецификация подакцизных изделий согласно приложению 2 к настоящему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изделий возвращается налогоплательщику, второй экземпляр остается в органе налоговой службы. Копия заявления-расчета на закупку акцизных марок для алкогольной продукции направляется органом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 копия лицензии на ввоз и/или реализацию подакцизной продукции (для лицензируемых видов подакцизной продукции);</w:t>
      </w:r>
    </w:p>
    <w:p>
      <w:pPr>
        <w:spacing w:after="60"/>
        <w:ind w:firstLine="56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или банковской гарантии и уплату номинальной стоимости акцизных марок на все количество маркируемой продукции. Копия платежного документа или оригинал банковской гарантии остается в органе налоговой службы, оригиналы платежных документов возвращаются налогоплательщику.</w:t>
      </w:r>
    </w:p>
    <w:p>
      <w:pPr>
        <w:spacing w:after="60"/>
        <w:ind w:firstLine="567"/>
        <w:jc w:val="both"/>
      </w:pPr>
      <w:r>
        <w:rPr>
          <w:rFonts w:ascii="Arial" w:cs="Arial" w:eastAsia="Arial" w:hAnsi="Arial"/>
          <w:sz w:val="24"/>
          <w:szCs w:val="24"/>
        </w:rPr>
        <w:t xml:space="preserve">Решение об отправке акцизных марок на зарубежный завод-производитель маркируемой продукции, решение о выдаче акцизных марок на импортируемую маркируемую продукцию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60"/>
        <w:ind w:firstLine="567"/>
        <w:jc w:val="both"/>
      </w:pPr>
      <w:r>
        <w:rPr>
          <w:rFonts w:ascii="Arial" w:cs="Arial" w:eastAsia="Arial" w:hAnsi="Arial"/>
          <w:sz w:val="24"/>
          <w:szCs w:val="24"/>
        </w:rPr>
        <w:t xml:space="preserve">- инвойсы на ввозимую подакцизную продукцию, оригинал и заверенная налогоплательщиком копия договора на поставку маркируемой продукции, единожды при первоначальной подаче заявки по данному договору на период его действия. Копия договора остается в органе налоговой службы, оригинал возвращается налогоплательщику. В случаях поставки маркируемой алкогольной продукции копии инвойсов и договоров органами налоговой службы направляются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 письмо с просьбой направить акцизные марки на завод-производитель маркируемой продукции с подробным указанием его точных реквизитов.</w:t>
      </w:r>
    </w:p>
    <w:p>
      <w:pPr>
        <w:spacing w:after="60"/>
        <w:ind w:firstLine="56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Евразийского экономического союза,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акцизных марок.</w:t>
      </w:r>
    </w:p>
    <w:p>
      <w:pPr>
        <w:spacing w:after="60"/>
        <w:ind w:firstLine="567"/>
        <w:jc w:val="both"/>
      </w:pPr>
      <w:r>
        <w:rPr>
          <w:rFonts w:ascii="Arial" w:cs="Arial" w:eastAsia="Arial" w:hAnsi="Arial"/>
          <w:sz w:val="24"/>
          <w:szCs w:val="24"/>
        </w:rPr>
        <w:t xml:space="preserve">Решение о выдаче акцизных марок на импортируемую маркируемую продукцию уполномоченным банком составляется в 3 экземплярах по форме, утверждаемой уполномоченным налоговым органом. Акцизные марки выдаются уполномоченным банком налогоплательщику согласно порядковым номерам акцизных марок,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 Копия решения о выдаче акцизных марок на импортируемую маркируемую алкогольную продукцию направляется органами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акцизных марок с диапазоном номеров, указанных в решении налогового органа.</w:t>
      </w:r>
    </w:p>
    <w:p>
      <w:pPr>
        <w:spacing w:after="60"/>
        <w:ind w:firstLine="567"/>
        <w:jc w:val="both"/>
      </w:pPr>
      <w:r>
        <w:rPr>
          <w:rFonts w:ascii="Arial" w:cs="Arial" w:eastAsia="Arial" w:hAnsi="Arial"/>
          <w:sz w:val="24"/>
          <w:szCs w:val="24"/>
        </w:rPr>
        <w:t xml:space="preserve">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usdov6nyhue9ct2_bzpo2">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zlxjtghfsabuo7r34ntep">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Решение об отправке акцизных марок на зарубежный завод-производитель маркируемой продукции составляется в 2 экземплярах: первый экземпляр решения органа налоговой службы остается в органе налоговой службы, второй - у налогоплательщика. При этом уполномоченным налоговым органом направляется письмо-заказ компании-изготовителю акцизных марок об отправке соответствующей партии акцизных марок на зарубежный завод-производитель маркируемой продукции.</w:t>
      </w:r>
    </w:p>
    <w:p>
      <w:pPr>
        <w:spacing w:after="60"/>
        <w:ind w:firstLine="567"/>
        <w:jc w:val="both"/>
      </w:pPr>
      <w:r>
        <w:rPr>
          <w:rFonts w:ascii="Arial" w:cs="Arial" w:eastAsia="Arial" w:hAnsi="Arial"/>
          <w:sz w:val="24"/>
          <w:szCs w:val="24"/>
        </w:rPr>
        <w:t xml:space="preserve">При отправке акцизных марок на зарубежный завод-производитель маркируемой продукции датой приобретения акцизных марок является дата принятая уполномоченным налоговым органом решения об отправке акцизных марок на зарубежный завод-производитель маркируемой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u4pnic7li1eljw691qqx">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Для маркировки алкогольной продукции, разлитой в большие емкости, при оформлении заявления на покупку акцизных марок налогоплательщик предоставляет подтверждение об уплате акцизного налога или банковской гарантии и номинальной стоимости акцизных марок. После подтверждения объема продукции органами налоговой службы, подлежащего маркировке, и уплаты номинальной стоимости акцизных марок орган налоговой службы принимает решение о выдаче акцизных марок, с последующим уведомлением уполномоченного государственного органа, осуществляющего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ghbebwc1armttwy9yuv">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0ncxh1dul04z4cz8ckgdu">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Решение о выдаче акцизных марок на импортируемую маркируемую продукцию уполномоченным банком, решение об отправке акцизных марок на зарубежный завод-производитель маркируемой продукции принимаются органом налоговой службы в течение 3 рабочих дней со дня представления налогоплательщиком документов, предусмотренных пунктом 19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ik9qibvz25vlfntuasra">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Если на момент оформления заявления-расчета на приобретение акцизных марок в уполномоченном банке нет акцизных марок необходимого типа или емкости или требуемые акцизные марки не были указаны в заказе на производство акцизных марок, то возможна реализация акцизных марок, находящихся в наличии в уполномоченном банке, с условием уплаты фактической суммы акцизного налога или предоставления банковской гарантии на момент приобретения акцизных марок. Для этого уполномоченный налоговый орган направляет письменное разрешение на обозначение маркируемой продукции имеющимися акцизными марками с указанием типа, емкости и наименования маркируемой продукции налогоплательщику - покупателю акцизных марок, в уполномоченный банк, орган налоговой службы по месту налоговой регистрации налогоплательщика - покупателя акцизных марок, уполномоченные государственные органы в сфере таможенного дела, борьбы с экономическими преступлениями и уполномоченный государственный орган по контролю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siowfgmtawdsumtyqvqy">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iwyk4l38lfsfvvumnuhdf">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Органы налоговой службы контролируют представление налогоплательщиком, производящим или импортирующим маркируемую продукцию, расчетов и иных документов для исчисления акцизного налога.</w:t>
      </w:r>
    </w:p>
    <w:p>
      <w:pPr>
        <w:spacing w:after="200" w:before="200"/>
        <w:jc w:val="center"/>
      </w:pPr>
      <w:r>
        <w:rPr>
          <w:rFonts w:ascii="Arial" w:cs="Arial" w:eastAsia="Arial" w:hAnsi="Arial"/>
          <w:b/>
          <w:bCs/>
          <w:sz w:val="24"/>
          <w:szCs w:val="24"/>
        </w:rPr>
        <w:t xml:space="preserve">3. Порядок учета и хранения акцизных марок</w:t>
      </w:r>
    </w:p>
    <w:p>
      <w:pPr>
        <w:spacing w:after="60"/>
        <w:ind w:firstLine="567"/>
        <w:jc w:val="both"/>
      </w:pPr>
      <w:r>
        <w:rPr>
          <w:rFonts w:ascii="Arial" w:cs="Arial" w:eastAsia="Arial" w:hAnsi="Arial"/>
          <w:sz w:val="24"/>
          <w:szCs w:val="24"/>
        </w:rPr>
        <w:t xml:space="preserve">25. Акцизные марки являются специальными государственными бланками.</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Акцизные марки изготавливаются на бумажных листах, имеют соответствующие формы и размеры в зависимости от вида подакцизной продукции,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6qp-gitcqmozywxm6zzq">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целях обеспечения сохранности акцизных марок налогоплательщик обязан выделить специальное помещение или хранить их в несгораемых ящиках (сейфах).</w:t>
      </w:r>
    </w:p>
    <w:p>
      <w:pPr>
        <w:spacing w:after="60"/>
        <w:ind w:firstLine="567"/>
        <w:jc w:val="both"/>
      </w:pPr>
      <w:r>
        <w:rPr>
          <w:rFonts w:ascii="Arial" w:cs="Arial" w:eastAsia="Arial" w:hAnsi="Arial"/>
          <w:sz w:val="24"/>
          <w:szCs w:val="24"/>
        </w:rPr>
        <w:t xml:space="preserve">28. Акцизные марки приходуются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акцизных марок.</w:t>
      </w:r>
    </w:p>
    <w:p>
      <w:pPr>
        <w:spacing w:after="60"/>
        <w:ind w:firstLine="567"/>
        <w:jc w:val="both"/>
      </w:pPr>
      <w:r>
        <w:rPr>
          <w:rFonts w:ascii="Arial" w:cs="Arial" w:eastAsia="Arial" w:hAnsi="Arial"/>
          <w:sz w:val="24"/>
          <w:szCs w:val="24"/>
        </w:rPr>
        <w:t xml:space="preserve">29. На предприятиях, применяющих акцизные марки, приказом руководителя назначается должностное лицо, ответственное за сохранность акцизных марок. Должностное лицо выдает акцизные марки для обозначения продукции под подпись и ведет учет отгруженной продукции и выданных марок с фиксацией типа, емкости, наименования, номеров акцизных марок и фамилии их получателя.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xybyduqy2tvpz4e72qtv">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Органы налоговой службы обязаны постоянно осуществлять контроль за правильностью списания акцизных марок на предприятиях-производителях (для чего производят при необходимости инвентаризацию наличия акцизных марок),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200" w:before="200"/>
        <w:jc w:val="center"/>
      </w:pPr>
      <w:r>
        <w:rPr>
          <w:rFonts w:ascii="Arial" w:cs="Arial" w:eastAsia="Arial" w:hAnsi="Arial"/>
          <w:b/>
          <w:bCs/>
          <w:sz w:val="24"/>
          <w:szCs w:val="24"/>
        </w:rPr>
        <w:t xml:space="preserve">4. Возврат неиспользованных и испорченных в процессе наклейки акцизных марок</w:t>
      </w:r>
    </w:p>
    <w:p>
      <w:pPr>
        <w:spacing w:after="60"/>
        <w:ind w:firstLine="567"/>
        <w:jc w:val="both"/>
      </w:pPr>
      <w:r>
        <w:rPr>
          <w:rFonts w:ascii="Arial" w:cs="Arial" w:eastAsia="Arial" w:hAnsi="Arial"/>
          <w:sz w:val="24"/>
          <w:szCs w:val="24"/>
        </w:rPr>
        <w:t xml:space="preserve">31. В случае прекращения производства/импорта маркируемой продукции производитель/импортер обязан вернуть все неиспользованные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неиспользованных акцизных марок производитель/импортер маркируемой продукции обязан в орган налоговой службы по месту получения акцизных марок представить следующие документы:</w:t>
      </w:r>
    </w:p>
    <w:p>
      <w:pPr>
        <w:spacing w:after="60"/>
        <w:ind w:firstLine="567"/>
        <w:jc w:val="both"/>
      </w:pPr>
      <w:r>
        <w:rPr>
          <w:rFonts w:ascii="Arial" w:cs="Arial" w:eastAsia="Arial" w:hAnsi="Arial"/>
          <w:sz w:val="24"/>
          <w:szCs w:val="24"/>
        </w:rPr>
        <w:t xml:space="preserve">- письменное заявление с указанием причин возврата акцизных марок и просьбой разрешить повторно использовать уплаченный акцизный налог при следующей покупке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 экземпляр решения о выдаче акцизных марок.</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акцизных марок в уполномоченный банк, которое составляется в 3 экземплярах. Первый экземпляр решения о возврате акцизных марок остается в уполномоченном банке, второй - у покупателя акцизных марок, третий - в органе налоговой службы.";</w:t>
      </w:r>
    </w:p>
    <w:p>
      <w:pPr>
        <w:spacing w:after="60"/>
        <w:ind w:firstLine="567"/>
        <w:jc w:val="both"/>
      </w:pPr>
      <w:r>
        <w:rPr>
          <w:rFonts w:ascii="Arial" w:cs="Arial" w:eastAsia="Arial" w:hAnsi="Arial"/>
          <w:sz w:val="24"/>
          <w:szCs w:val="24"/>
        </w:rPr>
        <w:t xml:space="preserve">- предложение второе абзаца второго пункта 32 изложить в следующей редакции: "При этом номинальная стоимость акцизных марок возврату не подлежит, а сумма акцизного налога засчитывается как излишне уплаченная, которая может быть использована только в счет уплаты акцизного налога при следующем получении акцизных марок соответствующего вида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uiheikg32gv6iykp5jd">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Возврат номинальной стоимости неиспользованных акцизных марок, за исключением акцизных марок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60"/>
        <w:ind w:firstLine="567"/>
        <w:jc w:val="both"/>
      </w:pPr>
      <w:r>
        <w:rPr>
          <w:rFonts w:ascii="Arial" w:cs="Arial" w:eastAsia="Arial" w:hAnsi="Arial"/>
          <w:sz w:val="24"/>
          <w:szCs w:val="24"/>
        </w:rPr>
        <w:t xml:space="preserve">Неиспользованные акцизные марки для импортируемых табачных изделий принимаются уполномоченным банком только для уничтожения. При этом номинальная стоимость акцизных марок возврату не подлежит, а сумма акцизного налога засчитывается как излишне уплаченная.</w:t>
      </w:r>
    </w:p>
    <w:p>
      <w:pPr>
        <w:spacing w:after="60"/>
        <w:ind w:firstLine="567"/>
        <w:jc w:val="both"/>
      </w:pPr>
      <w:r>
        <w:rPr>
          <w:rFonts w:ascii="Arial" w:cs="Arial" w:eastAsia="Arial" w:hAnsi="Arial"/>
          <w:sz w:val="24"/>
          <w:szCs w:val="24"/>
        </w:rPr>
        <w:t xml:space="preserve">33. В случае порчи акцизных марок в процессе наклейки на заводе-изготовителе маркируемой продукции составляется акт с указанием причин порчи, количества и типов испорченных акцизных марок. Производитель/импортер обязан вернуть испорченные акцизные марки в уполномоченный банк.</w:t>
      </w:r>
    </w:p>
    <w:p>
      <w:pPr>
        <w:spacing w:after="60"/>
        <w:ind w:firstLine="567"/>
        <w:jc w:val="both"/>
      </w:pPr>
      <w:r>
        <w:rPr>
          <w:rFonts w:ascii="Arial" w:cs="Arial" w:eastAsia="Arial" w:hAnsi="Arial"/>
          <w:sz w:val="24"/>
          <w:szCs w:val="24"/>
        </w:rPr>
        <w:t xml:space="preserve">Для проведения процедуры возврата производитель/импортер обязан представить в орган налоговой службы по месту получения акцизных марок следующие документы:</w:t>
      </w:r>
    </w:p>
    <w:p>
      <w:pPr>
        <w:spacing w:after="60"/>
        <w:ind w:firstLine="567"/>
        <w:jc w:val="both"/>
      </w:pPr>
      <w:r>
        <w:rPr>
          <w:rFonts w:ascii="Arial" w:cs="Arial" w:eastAsia="Arial" w:hAnsi="Arial"/>
          <w:sz w:val="24"/>
          <w:szCs w:val="24"/>
        </w:rPr>
        <w:t xml:space="preserve">- акт о порче акцизных марок;</w:t>
      </w:r>
    </w:p>
    <w:p>
      <w:pPr>
        <w:spacing w:after="60"/>
        <w:ind w:firstLine="56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акцизных марок на бумажном и электронном носителе.</w:t>
      </w:r>
    </w:p>
    <w:p>
      <w:pPr>
        <w:spacing w:after="60"/>
        <w:ind w:firstLine="56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акцизных марок в уполномоченный банк, которое составляется в 3 экземплярах по форме, утверждаемой органом налоговой службы. Первый экземпляр решения о возврате акцизных марок остается в уполномоченном банке, второй - у налогоплательщика, третий - в органе налоговой службы. В случае принятия решения о возврате испорченных акцизных марок на алкогольную продукцию копия данного решения направляется органом налоговой службы в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w:t>
      </w:r>
    </w:p>
    <w:p>
      <w:pPr>
        <w:spacing w:after="60"/>
        <w:ind w:firstLine="567"/>
        <w:jc w:val="both"/>
      </w:pPr>
      <w:r>
        <w:rPr>
          <w:rFonts w:ascii="Arial" w:cs="Arial" w:eastAsia="Arial" w:hAnsi="Arial"/>
          <w:sz w:val="24"/>
          <w:szCs w:val="24"/>
        </w:rPr>
        <w:t xml:space="preserve">Акцизные марки,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не идентифицируется, не подлежат возврату в уполномоченный банк.</w:t>
      </w:r>
    </w:p>
    <w:p>
      <w:pPr>
        <w:spacing w:after="60"/>
        <w:ind w:firstLine="567"/>
        <w:jc w:val="both"/>
      </w:pPr>
      <w:r>
        <w:rPr>
          <w:rFonts w:ascii="Arial" w:cs="Arial" w:eastAsia="Arial" w:hAnsi="Arial"/>
          <w:sz w:val="24"/>
          <w:szCs w:val="24"/>
        </w:rPr>
        <w:t xml:space="preserve">При порче акцизных марок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Взамен поврежденных марок выдаются новые акцизные марки без повторной уплаты акцизного налога на сумму акцизного налога поврежденных марок при условии оплаты номинальной стоимости акцизных марок.</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say3jdwxl5nk3eoqb-gke">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 </w:t>
      </w:r>
      <w:hyperlink w:history="1" r:id="rIdkbzuvq9bdg4heo-f4v1xc">
        <w:r>
          <w:rPr>
            <w:rFonts w:ascii="Arial" w:cs="Arial" w:eastAsia="Arial" w:hAnsi="Arial"/>
            <w:i/>
            <w:iCs/>
            <w:color w:val="1D4ED8"/>
            <w:sz w:val="24"/>
            <w:szCs w:val="24"/>
            <w:u w:val="single"/>
          </w:rPr>
          <w:t xml:space="preserve">24 июня 2024 года № 328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Акцизные марки, непригодные для обозначения маркируемой продукции, подлежат комиссионному уничтожению уполномоченным банком при участии представителей соответствующего органа налоговой службы и производителя/импортера.</w:t>
      </w:r>
    </w:p>
    <w:p>
      <w:pPr>
        <w:spacing w:after="60"/>
        <w:ind w:firstLine="567"/>
        <w:jc w:val="both"/>
      </w:pPr>
      <w:r>
        <w:rPr>
          <w:rFonts w:ascii="Arial" w:cs="Arial" w:eastAsia="Arial" w:hAnsi="Arial"/>
          <w:sz w:val="24"/>
          <w:szCs w:val="24"/>
        </w:rPr>
        <w:t xml:space="preserve">35. </w:t>
      </w:r>
      <w:r>
        <w:rPr>
          <w:rFonts w:ascii="Arial" w:cs="Arial" w:eastAsia="Arial" w:hAnsi="Arial"/>
          <w:sz w:val="24"/>
          <w:szCs w:val="24"/>
        </w:rPr>
        <w:t xml:space="preserve">После приема уполномоченным банком неиспользованных акцизных марок и/или комиссионного уничтожения акцизных марок, непригодных для обозначения маркируемой продукции,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 которая может быть использована только для получения акцизных марок соответствующего вида продукции.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9n3y1j0ac5jo-bixr-hg">
        <w:r>
          <w:rPr>
            <w:rFonts w:ascii="Arial" w:cs="Arial" w:eastAsia="Arial" w:hAnsi="Arial"/>
            <w:i/>
            <w:iCs/>
            <w:color w:val="1D4ED8"/>
            <w:sz w:val="24"/>
            <w:szCs w:val="24"/>
            <w:u w:val="single"/>
          </w:rPr>
          <w:t xml:space="preserve">15 марта 2024 года № 118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порчи или утраты произведенных подакцизных товаров акциз уплачивается в полном размере и/или не подлежит возврату, за исключением случаев, возникших в результате непреодолимой силы. При утрате акцизных марок не подлежит возврату акциз, уплаченный до или в момент приобретения акцизных марок, за исключением случаев, возникших в результате непреодолимой силы. Исчисление акциза по утраченным акцизным маркам,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60"/>
        <w:ind w:firstLine="567"/>
        <w:jc w:val="both"/>
      </w:pPr>
      <w:r>
        <w:rPr>
          <w:rFonts w:ascii="Arial" w:cs="Arial" w:eastAsia="Arial" w:hAnsi="Arial"/>
          <w:sz w:val="24"/>
          <w:szCs w:val="24"/>
        </w:rPr>
        <w:t xml:space="preserve">37. В случае обнаружения производственного брака налогоплательщик составляет акт об обнаружении бракованных акцизных марок в присутствии руководителя, главного бухгалтера и лица, ответственного за сохранность акцизных марок, указывает тип и номера акцизных марок,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уплаченных денежных средств при покупке акцизных марок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акцизных марок для изучения. В случае подтверждения компанией-изготовителем наличия брака налогоплательщик вправе получить акцизные марки взамен бракованного количества без уплаты акцизного налога и номинальной стоимости.</w:t>
      </w:r>
    </w:p>
    <w:p>
      <w:pPr>
        <w:spacing w:after="200" w:before="200"/>
        <w:jc w:val="center"/>
      </w:pPr>
      <w:r>
        <w:rPr>
          <w:rFonts w:ascii="Arial" w:cs="Arial" w:eastAsia="Arial" w:hAnsi="Arial"/>
          <w:b/>
          <w:bCs/>
          <w:sz w:val="24"/>
          <w:szCs w:val="24"/>
        </w:rPr>
        <w:t xml:space="preserve">5. Контроль за маркировкой подакцизных товаров</w:t>
      </w:r>
    </w:p>
    <w:p>
      <w:pPr>
        <w:spacing w:after="60"/>
        <w:ind w:firstLine="567"/>
        <w:jc w:val="both"/>
      </w:pPr>
      <w:r>
        <w:rPr>
          <w:rFonts w:ascii="Arial" w:cs="Arial" w:eastAsia="Arial" w:hAnsi="Arial"/>
          <w:sz w:val="24"/>
          <w:szCs w:val="24"/>
        </w:rPr>
        <w:t xml:space="preserve">38. Маркировка маркой акцизного сбора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(в том числе на территории таможенного склада, таможенного терминала и складах временного хранения, включенных в реестр, утверждаемый уполномоченным органом в сфере таможенного дела).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ytmanj5r_ur8gg1ld_y9">
        <w:r>
          <w:rPr>
            <w:rFonts w:ascii="Arial" w:cs="Arial" w:eastAsia="Arial" w:hAnsi="Arial"/>
            <w:i/>
            <w:iCs/>
            <w:color w:val="1D4ED8"/>
            <w:sz w:val="24"/>
            <w:szCs w:val="24"/>
            <w:u w:val="single"/>
          </w:rPr>
          <w:t xml:space="preserve">17 февраля 2023 года № 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Контроль за наличием и подлинностью акцизных марок на маркируемой продукции, находящейся в торговой сети (розничной и оптовой), осуществляется органами налоговой службы.</w:t>
      </w:r>
    </w:p>
    <w:p>
      <w:pPr>
        <w:spacing w:after="60"/>
        <w:ind w:firstLine="567"/>
        <w:jc w:val="both"/>
      </w:pPr>
      <w:r>
        <w:rPr>
          <w:rFonts w:ascii="Arial" w:cs="Arial" w:eastAsia="Arial" w:hAnsi="Arial"/>
          <w:sz w:val="24"/>
          <w:szCs w:val="24"/>
        </w:rPr>
        <w:t xml:space="preserve">40. Организации, индивидуальные предприниматели и физические лица, производящие, импортирующие либо реализующие немаркированную подакцизную продукцию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41. Уполномоченный налоговый орган ежемесячно к 10 числу отчетного месяца направляет в уполномоченный государственный орган в сфере таможенного дела и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p5iepuqppglny45widkd">
        <w:r>
          <w:rPr>
            <w:rFonts w:ascii="Arial" w:cs="Arial" w:eastAsia="Arial" w:hAnsi="Arial"/>
            <w:i/>
            <w:iCs/>
            <w:color w:val="1D4ED8"/>
            <w:sz w:val="24"/>
            <w:szCs w:val="24"/>
            <w:u w:val="single"/>
          </w:rPr>
          <w:t xml:space="preserve">4 декабря 2023 года № 632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Уполномоченный государственный орган в сфере таможенного дела ежемесячно к 10 числу отчетного месяца представляет в уполномоченный налоговый орган и уполномоченный государственный орган, осуществляющий государственный контроль в сфере производства и оборота этилового спирта, алкогольной и спиртосодержащей продукции, сведения об экспорте-импорте подакцизных товаров.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dxuw-wziceilnxmgyt8b">
        <w:r>
          <w:rPr>
            <w:rFonts w:ascii="Arial" w:cs="Arial" w:eastAsia="Arial" w:hAnsi="Arial"/>
            <w:i/>
            <w:iCs/>
            <w:color w:val="1D4ED8"/>
            <w:sz w:val="24"/>
            <w:szCs w:val="24"/>
            <w:u w:val="single"/>
          </w:rPr>
          <w:t xml:space="preserve">4 декабря 2023 года № 632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выдачи и применения марок акцизного сбора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______________________________________________________
 </w:t>
      </w:r>
      <w:r>
        <w:rPr>
          <w:rFonts w:ascii="Arial" w:cs="Arial" w:eastAsia="Arial" w:hAnsi="Arial"/>
          <w:sz w:val="24"/>
          <w:szCs w:val="24"/>
        </w:rPr>
        <w:t xml:space="preserve">(Наименование органа налоговой службы)</w:t>
      </w:r>
    </w:p>
    <w:p>
      <w:pPr>
        <w:spacing w:after="200" w:before="120"/>
        <w:jc w:val="center"/>
      </w:pPr>
      <w:r>
        <w:rPr>
          <w:rFonts w:ascii="Arial" w:cs="Arial" w:eastAsia="Arial" w:hAnsi="Arial"/>
          <w:b/>
          <w:bCs/>
          <w:sz w:val="24"/>
          <w:szCs w:val="24"/>
        </w:rPr>
        <w:t xml:space="preserve">ЗАЯВЛЕНИЕ-РАСЧЕТ
 на покупку акцизных марок
 № ______ от "___" _______________ 20___ года
 </w:t>
      </w:r>
      <w:r>
        <w:rPr>
          <w:rFonts w:ascii="Arial" w:cs="Arial" w:eastAsia="Arial" w:hAnsi="Arial"/>
          <w:sz w:val="24"/>
          <w:szCs w:val="24"/>
        </w:rPr>
        <w:t xml:space="preserve">(заполняется налоговым органом)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6740"/>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1012"/>
        <w:gridCol w:w="537"/>
        <w:gridCol w:w="698"/>
        <w:gridCol w:w="698"/>
        <w:gridCol w:w="1181"/>
        <w:gridCol w:w="993"/>
        <w:gridCol w:w="1437"/>
        <w:gridCol w:w="1437"/>
        <w:gridCol w:w="804"/>
        <w:gridCol w:w="1040"/>
      </w:tblGrid>
      <w:tr>
        <w:tc>
          <w:tcPr>
            <w:tcW w:type="dxa" w:w="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маркируемой продукции</w:t>
            </w:r>
          </w:p>
        </w:tc>
        <w:tc>
          <w:tcPr>
            <w:tcW w:type="dxa" w:w="5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марок</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(на марке)</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c>
          <w:tcPr>
            <w:tcW w:type="dxa" w:w="9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Облагаемый объем</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спирта этилового/крепость (для алкогольных изделий)</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акцизного налога исходя из содержания спирта этилового/крепости (для алкогольных изделий) (сом)</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акцизного налога (сом)</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 акцизных марок (сом)</w:t>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Акцизный налог уплачен на счет № _________________________ согласно платежному документу № _______ от "___" _______________ 20___ года
 в сумме _____________________________________________________________ сомов.
                                                  (прописью)</w:t>
      </w:r>
    </w:p>
    <w:p>
      <w:pPr>
        <w:spacing w:after="60"/>
        <w:jc w:val="both"/>
      </w:pPr>
      <w:r>
        <w:rPr>
          <w:rFonts w:ascii="Arial" w:cs="Arial" w:eastAsia="Arial" w:hAnsi="Arial"/>
          <w:sz w:val="24"/>
          <w:szCs w:val="24"/>
        </w:rPr>
        <w:t xml:space="preserve">Номинальная стоимость марок уплачена на счет № ________________ согласно платежному документу № _____ от "___" ______________ 20__ года
 в сумме ____________________________________________________________ сомов.
                                                             (прописью)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spacing w:after="120"/>
        <w:jc w:val="right"/>
      </w:pPr>
      <w:r>
        <w:rPr>
          <w:rFonts w:ascii="Arial" w:cs="Arial" w:eastAsia="Arial" w:hAnsi="Arial"/>
          <w:sz w:val="24"/>
          <w:szCs w:val="24"/>
        </w:rPr>
        <w:t xml:space="preserve">                                   (подпись)</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_______________________________________</w:t>
      </w:r>
    </w:p>
    <w:p>
      <w:pPr>
        <w:spacing w:after="120"/>
        <w:jc w:val="right"/>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Типы марок: А - водка; С - коньяк; L - ликеро-водочные изделия; V - вино; S - шампанское; Е - сигареты с фильтром; F- сигареты без фильтра.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выдачи и применения марок акцизного сбора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_________________________________________________________
 </w:t>
      </w:r>
      <w:r>
        <w:rPr>
          <w:rFonts w:ascii="Arial" w:cs="Arial" w:eastAsia="Arial" w:hAnsi="Arial"/>
          <w:sz w:val="24"/>
          <w:szCs w:val="24"/>
        </w:rPr>
        <w:t xml:space="preserve">(Наименование органа налоговой службы)</w:t>
      </w:r>
    </w:p>
    <w:p>
      <w:pPr>
        <w:spacing w:after="200" w:before="200"/>
        <w:jc w:val="center"/>
      </w:pPr>
      <w:r>
        <w:rPr>
          <w:rFonts w:ascii="Arial" w:cs="Arial" w:eastAsia="Arial" w:hAnsi="Arial"/>
          <w:b/>
          <w:bCs/>
          <w:sz w:val="32"/>
          <w:szCs w:val="32"/>
        </w:rPr>
        <w:t xml:space="preserve">СПЕЦИФИКАЦИЯ
 подакцизных изделий к заявлению-расчету на покупку акцизных марок
 № _________ от "___"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8"/>
        <w:gridCol w:w="6740"/>
      </w:tblGrid>
      <w:tr>
        <w:tc>
          <w:tcPr>
            <w:tcW w:type="dxa" w:w="34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налогоплательщика</w:t>
            </w:r>
          </w:p>
        </w:tc>
        <w:tc>
          <w:tcPr>
            <w:tcW w:type="dxa" w:w="67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Юридический адрес и телефон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ИНН</w:t>
            </w:r>
          </w:p>
        </w:tc>
        <w:tc>
          <w:tcPr>
            <w:tcW w:type="dxa" w:w="6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456"/>
        <w:gridCol w:w="2456"/>
        <w:gridCol w:w="2456"/>
        <w:gridCol w:w="2456"/>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подакцизной продукции</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(наименование) подакцизной продукции</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Емкость тары. Вид табачных изделий</w:t>
            </w:r>
          </w:p>
        </w:tc>
        <w:tc>
          <w:tcPr>
            <w:tcW w:type="dxa" w:w="24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приобретаемых акцизных марок</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ixi26kh87dxz6kg7iabs" Type="http://schemas.openxmlformats.org/officeDocument/2006/relationships/hyperlink" Target="http://kodeks.duckdns.org/document/159962" TargetMode="External"/><Relationship Id="rIdpb5ebubcnkquueyzjcvdp" Type="http://schemas.openxmlformats.org/officeDocument/2006/relationships/hyperlink" Target="http://kodeks.duckdns.org/document/160417" TargetMode="External"/><Relationship Id="rId7djtk4xck0atpinc3c3jj" Type="http://schemas.openxmlformats.org/officeDocument/2006/relationships/hyperlink" Target="http://kodeks.duckdns.org/document/230003719" TargetMode="External"/><Relationship Id="rIdxqvktxlkfye3tfv5hll5x" Type="http://schemas.openxmlformats.org/officeDocument/2006/relationships/hyperlink" Target="http://kodeks.duckdns.org/document/230003746" TargetMode="External"/><Relationship Id="rIdx0_-u7-_jd5m_dxttd_b-" Type="http://schemas.openxmlformats.org/officeDocument/2006/relationships/hyperlink" Target="http://kodeks.duckdns.org/document/230005237" TargetMode="External"/><Relationship Id="rIdctmbltkckxco4hdzgzrkg" Type="http://schemas.openxmlformats.org/officeDocument/2006/relationships/hyperlink" Target="http://kodeks.duckdns.org/document/230009431" TargetMode="External"/><Relationship Id="rIdi8ypapzxbpc2bb0hividu" Type="http://schemas.openxmlformats.org/officeDocument/2006/relationships/hyperlink" Target="http://kodeks.duckdns.org/document/230013025" TargetMode="External"/><Relationship Id="rIdigjbe3a6jjmeqv4nvullx" Type="http://schemas.openxmlformats.org/officeDocument/2006/relationships/hyperlink" Target="http://kodeks.duckdns.org/document/230037949" TargetMode="External"/><Relationship Id="rIdrq0cigezvullzqkfcske6" Type="http://schemas.openxmlformats.org/officeDocument/2006/relationships/hyperlink" Target="http://kodeks.duckdns.org/document/112340" TargetMode="External"/><Relationship Id="rIdlmenkjvi5px8n9ffjzwyk" Type="http://schemas.openxmlformats.org/officeDocument/2006/relationships/hyperlink" Target="http://kodeks.duckdns.org/document/1587" TargetMode="External"/><Relationship Id="rId1gsu1rcycbbsdlug1niyt" Type="http://schemas.openxmlformats.org/officeDocument/2006/relationships/hyperlink" Target="http://kodeks.duckdns.org/document/160417" TargetMode="External"/><Relationship Id="rIdzsndv-lvbcnat-bgaals2" Type="http://schemas.openxmlformats.org/officeDocument/2006/relationships/hyperlink" Target="http://kodeks.duckdns.org/document/230003719" TargetMode="External"/><Relationship Id="rIdka9peynusaollauy-bhs5" Type="http://schemas.openxmlformats.org/officeDocument/2006/relationships/hyperlink" Target="http://kodeks.duckdns.org/document/230005237" TargetMode="External"/><Relationship Id="rIdmzsiuxst2rwlgvdy0cvcb" Type="http://schemas.openxmlformats.org/officeDocument/2006/relationships/hyperlink" Target="http://kodeks.duckdns.org/document/230013025" TargetMode="External"/><Relationship Id="rIdeoqerkxs56dgtxctgrpcf" Type="http://schemas.openxmlformats.org/officeDocument/2006/relationships/hyperlink" Target="http://kodeks.duckdns.org/document/230037949" TargetMode="External"/><Relationship Id="rIdzqqf-_ljj_67tdwzozw_j" Type="http://schemas.openxmlformats.org/officeDocument/2006/relationships/hyperlink" Target="http://kodeks.duckdns.org/document/230037949" TargetMode="External"/><Relationship Id="rIdaehnkatljyakybu8ludj7" Type="http://schemas.openxmlformats.org/officeDocument/2006/relationships/hyperlink" Target="http://kodeks.duckdns.org/document/160417" TargetMode="External"/><Relationship Id="rIdfy8gkno_tu6-hhoplwujp" Type="http://schemas.openxmlformats.org/officeDocument/2006/relationships/hyperlink" Target="http://kodeks.duckdns.org/document/230003746" TargetMode="External"/><Relationship Id="rIdpxowzhakc84qg4nimwl8b" Type="http://schemas.openxmlformats.org/officeDocument/2006/relationships/hyperlink" Target="http://kodeks.duckdns.org/document/230003746" TargetMode="External"/><Relationship Id="rId8f19yv8t73geopbtgrtah" Type="http://schemas.openxmlformats.org/officeDocument/2006/relationships/hyperlink" Target="http://kodeks.duckdns.org/document/160417" TargetMode="External"/><Relationship Id="rIdngnplk3very62fi0tjm3e" Type="http://schemas.openxmlformats.org/officeDocument/2006/relationships/hyperlink" Target="http://kodeks.duckdns.org/document/160417" TargetMode="External"/><Relationship Id="rIdjpua59l0bfeowfgngliqr" Type="http://schemas.openxmlformats.org/officeDocument/2006/relationships/hyperlink" Target="http://kodeks.duckdns.org/document/160417" TargetMode="External"/><Relationship Id="rIdgjzriefdnpclya7a2xvp_" Type="http://schemas.openxmlformats.org/officeDocument/2006/relationships/hyperlink" Target="http://kodeks.duckdns.org/document/230003746" TargetMode="External"/><Relationship Id="rIdvmfrir5_txelgr16jj750" Type="http://schemas.openxmlformats.org/officeDocument/2006/relationships/hyperlink" Target="http://kodeks.duckdns.org/document/230003746" TargetMode="External"/><Relationship Id="rIdsaqzffjpgks90mdf9m_gc" Type="http://schemas.openxmlformats.org/officeDocument/2006/relationships/hyperlink" Target="http://kodeks.duckdns.org/document/160417" TargetMode="External"/><Relationship Id="rId1vpm2radsuj-onwx3mvyb" Type="http://schemas.openxmlformats.org/officeDocument/2006/relationships/hyperlink" Target="http://kodeks.duckdns.org/document/430908#pr1" TargetMode="External"/><Relationship Id="rIdusdov6nyhue9ct2_bzpo2" Type="http://schemas.openxmlformats.org/officeDocument/2006/relationships/hyperlink" Target="http://kodeks.duckdns.org/document/230003746" TargetMode="External"/><Relationship Id="rIdzlxjtghfsabuo7r34ntep" Type="http://schemas.openxmlformats.org/officeDocument/2006/relationships/hyperlink" Target="http://kodeks.duckdns.org/document/230009431" TargetMode="External"/><Relationship Id="rIdhu4pnic7li1eljw691qqx" Type="http://schemas.openxmlformats.org/officeDocument/2006/relationships/hyperlink" Target="http://kodeks.duckdns.org/document/230003746" TargetMode="External"/><Relationship Id="rIda-ghbebwc1armttwy9yuv" Type="http://schemas.openxmlformats.org/officeDocument/2006/relationships/hyperlink" Target="http://kodeks.duckdns.org/document/230003746" TargetMode="External"/><Relationship Id="rId0ncxh1dul04z4cz8ckgdu" Type="http://schemas.openxmlformats.org/officeDocument/2006/relationships/hyperlink" Target="http://kodeks.duckdns.org/document/230009431" TargetMode="External"/><Relationship Id="rIdkik9qibvz25vlfntuasra" Type="http://schemas.openxmlformats.org/officeDocument/2006/relationships/hyperlink" Target="http://kodeks.duckdns.org/document/230003746" TargetMode="External"/><Relationship Id="rIdlsiowfgmtawdsumtyqvqy" Type="http://schemas.openxmlformats.org/officeDocument/2006/relationships/hyperlink" Target="http://kodeks.duckdns.org/document/230003746" TargetMode="External"/><Relationship Id="rIdiwyk4l38lfsfvvumnuhdf" Type="http://schemas.openxmlformats.org/officeDocument/2006/relationships/hyperlink" Target="http://kodeks.duckdns.org/document/230009431" TargetMode="External"/><Relationship Id="rIdw6qp-gitcqmozywxm6zzq" Type="http://schemas.openxmlformats.org/officeDocument/2006/relationships/hyperlink" Target="http://kodeks.duckdns.org/document/230003746" TargetMode="External"/><Relationship Id="rIduxybyduqy2tvpz4e72qtv" Type="http://schemas.openxmlformats.org/officeDocument/2006/relationships/hyperlink" Target="http://kodeks.duckdns.org/document/230003746" TargetMode="External"/><Relationship Id="rIdmyuiheikg32gv6iykp5jd" Type="http://schemas.openxmlformats.org/officeDocument/2006/relationships/hyperlink" Target="http://kodeks.duckdns.org/document/230003746" TargetMode="External"/><Relationship Id="rIdsay3jdwxl5nk3eoqb-gke" Type="http://schemas.openxmlformats.org/officeDocument/2006/relationships/hyperlink" Target="http://kodeks.duckdns.org/document/230003746" TargetMode="External"/><Relationship Id="rIdkbzuvq9bdg4heo-f4v1xc" Type="http://schemas.openxmlformats.org/officeDocument/2006/relationships/hyperlink" Target="http://kodeks.duckdns.org/document/230009431" TargetMode="External"/><Relationship Id="rIdl9n3y1j0ac5jo-bixr-hg" Type="http://schemas.openxmlformats.org/officeDocument/2006/relationships/hyperlink" Target="http://kodeks.duckdns.org/document/230003746" TargetMode="External"/><Relationship Id="rIduytmanj5r_ur8gg1ld_y9" Type="http://schemas.openxmlformats.org/officeDocument/2006/relationships/hyperlink" Target="http://kodeks.duckdns.org/document/159962" TargetMode="External"/><Relationship Id="rIdxp5iepuqppglny45widkd" Type="http://schemas.openxmlformats.org/officeDocument/2006/relationships/hyperlink" Target="http://kodeks.duckdns.org/document/230003719" TargetMode="External"/><Relationship Id="rIdcdxuw-wziceilnxmgyt8b" Type="http://schemas.openxmlformats.org/officeDocument/2006/relationships/hyperlink" Target="http://kodeks.duckdns.org/document/230003719" TargetMode="External"/><Relationship Id="rId7" Type="http://schemas.openxmlformats.org/officeDocument/2006/relationships/image" Target="media/93bec1c1538034512fe33c1434ae0ea86b639d33.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2026-09-23T12:31:53.416Z</dcterms:created>
  <dcterms:modified xsi:type="dcterms:W3CDTF">2026-09-23T12:31:53.416Z</dcterms:modified>
</cp:coreProperties>
</file>

<file path=docProps/custom.xml><?xml version="1.0" encoding="utf-8"?>
<Properties xmlns="http://schemas.openxmlformats.org/officeDocument/2006/custom-properties" xmlns:vt="http://schemas.openxmlformats.org/officeDocument/2006/docPropsVTypes"/>
</file>