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№260/32-4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Токмокского городского кенеша от 26 декабря 2019 года №242/31-4 “Об утверждении структуры Управления муниципальной собственности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Д.Дж.Амангелдиева от 03.02.2020г. вх.№02-17/8 и согласно протокола постоянной депутатской комиссии по мандатам, по этике депутатов и становлению самоуправления Токмокского городского кенеша, а также руководствуясь Законами Кыргызской Республики «О местном самоуправлении», «О статусе местных кенешей»,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 постановление Токмокского городского кенеша от 26 декабря 2019 года №242/31-4 “Об утверждении структуры Управления муниципальной собственности города Токмок”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пункт 2 слово “специалист” заменить словом “ведущий специалист”.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Контроль за исполнением настоящего постановления возложить на постоянную депутатскую комиссию по мандатам, по этике депутатов и становлению самоуправления Токмокскогог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Токмок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4-февраля 2020г.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№ 260/32-4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 управления муниципальной собственности г.Токмок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Начальник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Младший обслуживающий персонал (20)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Водитель служебной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Слесарь по ремонту электрооборудования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Сантехник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зд.мэрии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Техничка зд. ТРЭСТ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Охранники зд.ТРЭСТ (4)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АО «Айнек»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зд. «СЮТ»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-Охранник зд.общежития ср. школы №13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Охранник зд. Недостроенной школы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Дворник (2)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по учету объектов муниципальной собственности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объектам и сооружениям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земельным вопросам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аренде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государственных закупок и (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государственным закупкам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подготовке тендерной документации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составлению смет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пециалист по работе с проектами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мониторинга деятельности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МП, капитального строительства и городской инфраструктуры (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жилищной политике и учету жилого фонда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координации деятельности МП и коммунальных служб города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капитальному строительству и техническому надзору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Отдел документационно-правового обеспечения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Заведующий отделом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специалист по правовым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Ведущий специалист по организации деятельности комиссии по застройке и землепользованию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кадрам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Технический обслуживающий 
 персонал (8)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Материальный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Специалист по документационному обеспечению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Архивариус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Комендант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 Заведующий хозяйством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«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Телефон доверия-146» (4)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-Старший оператор;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 -Оператор (3)</w:t>
            </w:r>
          </w:p>
        </w:tc>
      </w:tr>
    </w:tbl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Руководство – 1 единица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Муниципальные служащие- </w:t>
      </w:r>
      <w:r>
        <w:rPr>
          <w:rFonts w:ascii="Arial" w:cs="Arial" w:eastAsia="Arial" w:hAnsi="Arial"/>
          <w:sz w:val="18"/>
          <w:szCs w:val="18"/>
        </w:rPr>
        <w:t xml:space="preserve">1</w:t>
      </w:r>
      <w:r>
        <w:rPr>
          <w:rFonts w:ascii="Arial" w:cs="Arial" w:eastAsia="Arial" w:hAnsi="Arial"/>
          <w:sz w:val="18"/>
          <w:szCs w:val="18"/>
        </w:rPr>
        <w:t xml:space="preserve">8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ТОП-</w:t>
      </w:r>
      <w:r>
        <w:rPr>
          <w:rFonts w:ascii="Arial" w:cs="Arial" w:eastAsia="Arial" w:hAnsi="Arial"/>
          <w:sz w:val="18"/>
          <w:szCs w:val="18"/>
        </w:rPr>
        <w:t xml:space="preserve">8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МОП-</w:t>
      </w:r>
      <w:r>
        <w:rPr>
          <w:rFonts w:ascii="Arial" w:cs="Arial" w:eastAsia="Arial" w:hAnsi="Arial"/>
          <w:sz w:val="18"/>
          <w:szCs w:val="18"/>
        </w:rPr>
        <w:t xml:space="preserve">32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jc w:val="right"/>
      </w:pPr>
      <w:r>
        <w:rPr>
          <w:rFonts w:ascii="Arial" w:cs="Arial" w:eastAsia="Arial" w:hAnsi="Arial"/>
          <w:sz w:val="18"/>
          <w:szCs w:val="18"/>
        </w:rPr>
        <w:t xml:space="preserve">Итого: </w:t>
      </w:r>
      <w:r>
        <w:rPr>
          <w:rFonts w:ascii="Arial" w:cs="Arial" w:eastAsia="Arial" w:hAnsi="Arial"/>
          <w:sz w:val="18"/>
          <w:szCs w:val="18"/>
        </w:rPr>
        <w:t xml:space="preserve">63</w:t>
      </w:r>
      <w:r>
        <w:rPr>
          <w:rFonts w:ascii="Arial" w:cs="Arial" w:eastAsia="Arial" w:hAnsi="Arial"/>
          <w:sz w:val="18"/>
          <w:szCs w:val="18"/>
        </w:rPr>
        <w:t xml:space="preserve"> ед.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jl614vwypnha7om8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dalil.kg/document/433255</w:t>
      </w:r>
    </w:hyperlink>
  </w:p>
  <w:p>
    <w:pPr>
      <w:spacing w:after="0" w:before="40"/>
      <w:jc w:val="center"/>
    </w:pPr>
    <w:hyperlink w:history="1" r:id="rIdo9ix08592q6ne0hodqd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jl614vwypnha7om8pdo" Type="http://schemas.openxmlformats.org/officeDocument/2006/relationships/hyperlink" Target="https://dalil.kg/document/433255" TargetMode="External"/><Relationship Id="rIdo9ix08592q6ne0hodqd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2026-10-01T02:16:30.472Z</dcterms:created>
  <dcterms:modified xsi:type="dcterms:W3CDTF">2026-10-01T02:16:30.472Z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