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2022 года УП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борьбе с контрабандой и неучтенным ввозом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товаров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</w:t>
      </w:r>
      <w:hyperlink w:history="1" r:id="rId7poadrkihidykc6raakf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Президента Кыргызской Республики от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11 июня 2026 года № 207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мер, направленных на защиту интересов национальной экономики, борьбу с контрабандой и неучтенным ввозом товаров на территорию Кыргызской Республики, руководствуясь статьями </w:t>
      </w:r>
      <w:hyperlink w:history="1" r:id="rIdqdsgadc666yjwmy2wzg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9kwqbw6guvs11gnxj4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c_k9sjwsskiyn5lkea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полноценный учет товаров (грузов), ввозимых (импортируемых) в Кыргызскую Республику в рамках торговли с третьими странами и государствами-членами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в рамках законодательства Кыргызской Республики по обеспечению конфискации (изъятия) товаров (грузов), контрабандно и/или неучтенно ввезенных на территорию Кыргызской Республики, а также </w:t>
      </w:r>
      <w:r>
        <w:rPr>
          <w:rFonts w:ascii="Arial" w:cs="Arial" w:eastAsia="Arial" w:hAnsi="Arial"/>
          <w:sz w:val="24"/>
          <w:szCs w:val="24"/>
        </w:rPr>
        <w:t xml:space="preserve">транспортных средств, использованных для контрабандного перемещения товаров (грузов) в рамках торговли с третьими странами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бесперебойную работу информационных систем налоговой и таможенной служб по учету ввезенных (импортируемых) товаров на территорию Кыргызской Республики в рамках торговли с третьими странами и государствами-членами Евразийского экономического союза, передачу данных в режиме онлайн, обустройство пунктов пропуска автоматизированными камерами по распознаванию государственных номерных знаков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внедрить специализированные места стоянки для транспортных средств импортеров/перевозчиков, нарушивших нормы законодательства Кыргызской Республики по ввозу (импорту) товаров на территорию Кыргызской Республики в рамках торговли с третьими странами и государствами-членами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ввести усиленный контроль за транзитным потоком товаров с территории государств-членов Евразийского экономического союза, следующих в третьи страны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u9zajf5lmjinmhfsa7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июня 2026 года № 207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dmxvl_k6cjg_g6h7e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dalil.kg/document/434808</w:t>
      </w:r>
    </w:hyperlink>
  </w:p>
  <w:p>
    <w:pPr>
      <w:spacing w:after="0" w:before="40"/>
      <w:jc w:val="center"/>
    </w:pPr>
    <w:hyperlink w:history="1" r:id="rIdi9cdiuvzftxmsz7leui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oadrkihidykc6raakfd" Type="http://schemas.openxmlformats.org/officeDocument/2006/relationships/hyperlink" Target="https://dalil.kg/document/230047020" TargetMode="External"/><Relationship Id="rIdqdsgadc666yjwmy2wzgo9" Type="http://schemas.openxmlformats.org/officeDocument/2006/relationships/hyperlink" Target="https://dalil.kg/document/112213#st_17" TargetMode="External"/><Relationship Id="rIdx9kwqbw6guvs11gnxj4oe" Type="http://schemas.openxmlformats.org/officeDocument/2006/relationships/hyperlink" Target="https://dalil.kg/document/112213#st_66" TargetMode="External"/><Relationship Id="rIdgc_k9sjwsskiyn5lkeap3" Type="http://schemas.openxmlformats.org/officeDocument/2006/relationships/hyperlink" Target="https://dalil.kg/document/112213#st_71" TargetMode="External"/><Relationship Id="rIdhu9zajf5lmjinmhfsa7a8" Type="http://schemas.openxmlformats.org/officeDocument/2006/relationships/hyperlink" Target="https://dalil.kg/document/2300470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dmxvl_k6cjg_g6h7ef9" Type="http://schemas.openxmlformats.org/officeDocument/2006/relationships/hyperlink" Target="https://dalil.kg/document/434808" TargetMode="External"/><Relationship Id="rIdi9cdiuvzftxmsz7leui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2026-09-23T23:04:54.220Z</dcterms:created>
  <dcterms:modified xsi:type="dcterms:W3CDTF">2026-09-23T23:04:54.220Z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